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7456" behindDoc="0" locked="0" layoutInCell="1" allowOverlap="1">
                <wp:simplePos x="0" y="0"/>
                <wp:positionH relativeFrom="column">
                  <wp:posOffset>1628775</wp:posOffset>
                </wp:positionH>
                <wp:positionV relativeFrom="paragraph">
                  <wp:posOffset>7872730</wp:posOffset>
                </wp:positionV>
                <wp:extent cx="2131695" cy="517525"/>
                <wp:effectExtent l="0" t="0" r="1905" b="635"/>
                <wp:wrapNone/>
                <wp:docPr id="5"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2021年9月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619.9pt;height:40.75pt;width:167.85pt;z-index:251667456;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MNuXcAAAADQEAAA8AAAAAAAAAAQAgAAAAIgAAAGRycy9kb3ducmV2LnhtbFBL&#10;AQIUABQAAAAIAIdO4kDxxTSgKwIAACQEAAAOAAAAAAAAAAEAIAAAACsBAABkcnMvZTJvRG9jLnht&#10;bFBLBQYAAAAABgAGAFkBAADIBQAAAAA=&#10;">
                <v:fill on="f" focussize="0,0"/>
                <v:stroke on="f" weight="0.5pt"/>
                <v:imagedata o:title=""/>
                <o:lock v:ext="edit" aspectratio="f"/>
                <v:textbo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2021年9月</w:t>
                      </w:r>
                    </w:p>
                  </w:txbxContent>
                </v:textbox>
              </v:shape>
            </w:pict>
          </mc:Fallback>
        </mc:AlternateContent>
      </w:r>
      <w:r>
        <w:drawing>
          <wp:anchor distT="0" distB="0" distL="114300" distR="114300" simplePos="0" relativeHeight="251668480"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6"/>
                    <a:stretch>
                      <a:fillRect/>
                    </a:stretch>
                  </pic:blipFill>
                  <pic:spPr>
                    <a:xfrm>
                      <a:off x="0" y="0"/>
                      <a:ext cx="7592060" cy="10739755"/>
                    </a:xfrm>
                    <a:prstGeom prst="rect">
                      <a:avLst/>
                    </a:prstGeom>
                  </pic:spPr>
                </pic:pic>
              </a:graphicData>
            </a:graphic>
          </wp:anchor>
        </w:drawing>
      </w:r>
      <w:r>
        <w:br w:type="page"/>
      </w:r>
    </w:p>
    <w:p>
      <w:pPr>
        <w:jc w:val="center"/>
        <w:rPr>
          <w:rFonts w:hint="eastAsia" w:ascii="黑体" w:hAnsi="黑体" w:eastAsia="黑体" w:cs="黑体"/>
          <w:sz w:val="72"/>
          <w:szCs w:val="96"/>
          <w:lang w:eastAsia="zh-CN"/>
        </w:rPr>
      </w:pPr>
      <w:r>
        <w:rPr>
          <w:rFonts w:hint="eastAsia" w:ascii="黑体" w:hAnsi="黑体" w:eastAsia="黑体" w:cs="黑体"/>
          <w:sz w:val="72"/>
          <w:szCs w:val="96"/>
          <w:lang w:eastAsia="zh-CN"/>
        </w:rPr>
        <w:t>中国共产党</w:t>
      </w:r>
    </w:p>
    <w:p>
      <w:pPr>
        <w:jc w:val="center"/>
        <w:rPr>
          <w:rFonts w:hint="eastAsia" w:ascii="黑体" w:hAnsi="黑体" w:eastAsia="黑体" w:cs="黑体"/>
          <w:sz w:val="72"/>
          <w:szCs w:val="96"/>
          <w:lang w:eastAsia="zh-CN"/>
        </w:rPr>
      </w:pPr>
      <w:r>
        <w:rPr>
          <w:rFonts w:hint="eastAsia" w:ascii="黑体" w:hAnsi="黑体" w:eastAsia="黑体" w:cs="黑体"/>
          <w:sz w:val="72"/>
          <w:szCs w:val="96"/>
          <w:lang w:eastAsia="zh-CN"/>
        </w:rPr>
        <w:t>平山县纪律检查委员会</w:t>
      </w: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4" w:type="first"/>
          <w:footerReference r:id="rId3" w:type="default"/>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二〇二一年九月</w:t>
      </w:r>
    </w:p>
    <w:p>
      <w:pPr>
        <w:jc w:val="center"/>
        <w:rPr>
          <w:rFonts w:ascii="黑体" w:hAnsi="黑体" w:eastAsia="黑体" w:cs="黑体"/>
          <w:sz w:val="56"/>
          <w:szCs w:val="72"/>
          <w:highlight w:val="yellow"/>
        </w:rPr>
        <w:sectPr>
          <w:headerReference r:id="rId6" w:type="first"/>
          <w:footerReference r:id="rId8" w:type="first"/>
          <w:headerReference r:id="rId5" w:type="default"/>
          <w:footerReference r:id="rId7" w:type="default"/>
          <w:type w:val="continuous"/>
          <w:pgSz w:w="11906" w:h="16838"/>
          <w:pgMar w:top="2098" w:right="1531" w:bottom="1984" w:left="1531" w:header="851" w:footer="992" w:gutter="0"/>
          <w:cols w:space="0" w:num="1"/>
          <w:titlePg/>
          <w:docGrid w:type="lines" w:linePitch="312" w:charSpace="0"/>
        </w:sectPr>
      </w:pPr>
    </w:p>
    <w:p>
      <w:pP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f95gjcAAAADQEAAA8A&#10;AAAAAAAAAQAgAAAAIgAAAGRycy9kb3ducmV2LnhtbFBLAQIUABQAAAAIAIdO4kCVxoSdhQIAACMF&#10;AAAOAAAAAAAAAAEAIAAAACsBAABkcnMvZTJvRG9jLnhtbFBLBQYAAAAABgAGAFkBAAAiBgAAAAA=&#10;">
                <v:fill type="pattern" on="t" color2="#FFFFFF [3212]" focussize="0,0" r:id="rId17"/>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numPr>
          <w:ilvl w:val="0"/>
          <w:numId w:val="1"/>
        </w:numPr>
        <w:autoSpaceDN w:val="0"/>
        <w:ind w:firstLine="640" w:firstLineChars="200"/>
        <w:rPr>
          <w:rFonts w:hint="eastAsia" w:ascii="黑体" w:eastAsia="黑体" w:cs="黑体"/>
          <w:b w:val="0"/>
          <w:bCs w:val="0"/>
          <w:kern w:val="0"/>
          <w:sz w:val="32"/>
          <w:szCs w:val="32"/>
        </w:rPr>
      </w:pPr>
      <w:r>
        <w:rPr>
          <w:rFonts w:hint="eastAsia" w:ascii="黑体" w:eastAsia="黑体" w:cs="黑体"/>
          <w:b w:val="0"/>
          <w:bCs w:val="0"/>
          <w:kern w:val="0"/>
          <w:sz w:val="32"/>
          <w:szCs w:val="32"/>
        </w:rPr>
        <w:t>部门职责</w:t>
      </w:r>
    </w:p>
    <w:p>
      <w:pPr>
        <w:ind w:firstLine="640" w:firstLineChars="200"/>
        <w:rPr>
          <w:rFonts w:hint="eastAsia" w:ascii="仿宋" w:hAnsi="仿宋" w:eastAsia="仿宋" w:cs="仿宋"/>
          <w:i w:val="0"/>
          <w:caps w:val="0"/>
          <w:color w:val="333333"/>
          <w:spacing w:val="0"/>
          <w:sz w:val="32"/>
          <w:szCs w:val="32"/>
          <w:shd w:val="clear" w:color="070000" w:fill="FFFFFF"/>
          <w:lang w:val="en-US" w:eastAsia="zh-CN"/>
        </w:rPr>
      </w:pPr>
      <w:r>
        <w:rPr>
          <w:rFonts w:hint="eastAsia" w:ascii="仿宋" w:hAnsi="仿宋" w:eastAsia="仿宋" w:cs="仿宋"/>
          <w:i w:val="0"/>
          <w:caps w:val="0"/>
          <w:color w:val="333333"/>
          <w:spacing w:val="0"/>
          <w:sz w:val="32"/>
          <w:szCs w:val="32"/>
          <w:shd w:val="clear" w:color="070000" w:fill="FFFFFF"/>
          <w:lang w:val="en-US" w:eastAsia="zh-CN"/>
        </w:rPr>
        <w:t>中国共产党</w:t>
      </w:r>
      <w:r>
        <w:rPr>
          <w:rFonts w:hint="eastAsia" w:ascii="仿宋" w:hAnsi="仿宋" w:eastAsia="仿宋" w:cs="仿宋"/>
          <w:i w:val="0"/>
          <w:caps w:val="0"/>
          <w:color w:val="333333"/>
          <w:spacing w:val="0"/>
          <w:sz w:val="32"/>
          <w:szCs w:val="32"/>
          <w:shd w:val="clear" w:color="070000" w:fill="FFFFFF"/>
        </w:rPr>
        <w:t>纪律检查委员会的职责</w:t>
      </w:r>
      <w:r>
        <w:rPr>
          <w:rFonts w:hint="eastAsia" w:ascii="仿宋" w:hAnsi="仿宋" w:eastAsia="仿宋" w:cs="仿宋"/>
          <w:i w:val="0"/>
          <w:caps w:val="0"/>
          <w:color w:val="333333"/>
          <w:spacing w:val="0"/>
          <w:sz w:val="32"/>
          <w:szCs w:val="32"/>
          <w:shd w:val="clear" w:color="070000" w:fill="FFFFFF"/>
          <w:lang w:val="en-US" w:eastAsia="zh-CN"/>
        </w:rPr>
        <w:t>:</w:t>
      </w:r>
    </w:p>
    <w:p>
      <w:pPr>
        <w:numPr>
          <w:ilvl w:val="0"/>
          <w:numId w:val="0"/>
        </w:numPr>
        <w:rPr>
          <w:rFonts w:hint="eastAsia" w:ascii="仿宋" w:hAnsi="仿宋" w:eastAsia="仿宋" w:cs="仿宋"/>
          <w:i w:val="0"/>
          <w:caps w:val="0"/>
          <w:color w:val="333333"/>
          <w:spacing w:val="0"/>
          <w:sz w:val="32"/>
          <w:szCs w:val="32"/>
          <w:shd w:val="clear" w:color="070000" w:fill="FFFFFF"/>
        </w:rPr>
      </w:pPr>
      <w:r>
        <w:rPr>
          <w:rFonts w:hint="eastAsia" w:ascii="仿宋" w:hAnsi="仿宋" w:eastAsia="仿宋" w:cs="仿宋"/>
          <w:i w:val="0"/>
          <w:caps w:val="0"/>
          <w:color w:val="333333"/>
          <w:spacing w:val="0"/>
          <w:sz w:val="32"/>
          <w:szCs w:val="32"/>
          <w:shd w:val="clear" w:color="070000" w:fill="FFFFFF"/>
          <w:lang w:val="en-US" w:eastAsia="zh-CN"/>
        </w:rPr>
        <w:t xml:space="preserve">    </w:t>
      </w:r>
      <w:r>
        <w:rPr>
          <w:rFonts w:hint="eastAsia" w:ascii="仿宋" w:hAnsi="仿宋" w:eastAsia="仿宋" w:cs="仿宋"/>
          <w:i w:val="0"/>
          <w:caps w:val="0"/>
          <w:color w:val="333333"/>
          <w:spacing w:val="0"/>
          <w:sz w:val="32"/>
          <w:szCs w:val="32"/>
          <w:shd w:val="clear" w:color="070000" w:fill="FFFFFF"/>
          <w:lang w:eastAsia="zh-CN"/>
        </w:rPr>
        <w:t>一、</w:t>
      </w:r>
      <w:r>
        <w:rPr>
          <w:rFonts w:hint="eastAsia" w:ascii="仿宋" w:hAnsi="仿宋" w:eastAsia="仿宋" w:cs="仿宋"/>
          <w:i w:val="0"/>
          <w:caps w:val="0"/>
          <w:color w:val="333333"/>
          <w:spacing w:val="0"/>
          <w:sz w:val="32"/>
          <w:szCs w:val="32"/>
          <w:shd w:val="clear" w:color="070000" w:fill="FFFFFF"/>
        </w:rPr>
        <w:t>监督、执纪、问责，要经常对党员进行遵守纪律的教育，作出关于维护党纪的决定；</w:t>
      </w:r>
    </w:p>
    <w:p>
      <w:pPr>
        <w:numPr>
          <w:ilvl w:val="0"/>
          <w:numId w:val="0"/>
        </w:numPr>
        <w:rPr>
          <w:rFonts w:hint="eastAsia" w:ascii="仿宋" w:hAnsi="仿宋" w:eastAsia="仿宋" w:cs="仿宋"/>
          <w:i w:val="0"/>
          <w:caps w:val="0"/>
          <w:color w:val="333333"/>
          <w:spacing w:val="0"/>
          <w:sz w:val="32"/>
          <w:szCs w:val="32"/>
          <w:shd w:val="clear" w:color="070000" w:fill="FFFFFF"/>
        </w:rPr>
      </w:pPr>
      <w:r>
        <w:rPr>
          <w:rFonts w:hint="eastAsia" w:ascii="仿宋" w:hAnsi="仿宋" w:eastAsia="仿宋" w:cs="仿宋"/>
          <w:i w:val="0"/>
          <w:caps w:val="0"/>
          <w:color w:val="333333"/>
          <w:spacing w:val="0"/>
          <w:sz w:val="32"/>
          <w:szCs w:val="32"/>
          <w:shd w:val="clear" w:color="070000" w:fill="FFFFFF"/>
          <w:lang w:val="en-US" w:eastAsia="zh-CN"/>
        </w:rPr>
        <w:t xml:space="preserve">    </w:t>
      </w:r>
      <w:r>
        <w:rPr>
          <w:rFonts w:hint="eastAsia" w:ascii="仿宋" w:hAnsi="仿宋" w:eastAsia="仿宋" w:cs="仿宋"/>
          <w:i w:val="0"/>
          <w:caps w:val="0"/>
          <w:color w:val="333333"/>
          <w:spacing w:val="0"/>
          <w:sz w:val="32"/>
          <w:szCs w:val="32"/>
          <w:shd w:val="clear" w:color="070000" w:fill="FFFFFF"/>
          <w:lang w:eastAsia="zh-CN"/>
        </w:rPr>
        <w:t>二、</w:t>
      </w:r>
      <w:r>
        <w:rPr>
          <w:rFonts w:hint="eastAsia" w:ascii="仿宋" w:hAnsi="仿宋" w:eastAsia="仿宋" w:cs="仿宋"/>
          <w:i w:val="0"/>
          <w:caps w:val="0"/>
          <w:color w:val="333333"/>
          <w:spacing w:val="0"/>
          <w:sz w:val="32"/>
          <w:szCs w:val="32"/>
          <w:shd w:val="clear" w:color="070000" w:fill="FFFFFF"/>
        </w:rPr>
        <w:t>对党的组织和党员领导干部履行职责、行使权力进行监督，受理处置党员群众检举举报，开展谈话提醒、约谈函询；</w:t>
      </w:r>
    </w:p>
    <w:p>
      <w:pPr>
        <w:numPr>
          <w:ilvl w:val="0"/>
          <w:numId w:val="0"/>
        </w:numPr>
        <w:rPr>
          <w:rFonts w:hint="eastAsia" w:ascii="仿宋" w:hAnsi="仿宋" w:eastAsia="仿宋" w:cs="仿宋"/>
          <w:i w:val="0"/>
          <w:caps w:val="0"/>
          <w:color w:val="333333"/>
          <w:spacing w:val="0"/>
          <w:sz w:val="32"/>
          <w:szCs w:val="32"/>
          <w:shd w:val="clear" w:color="070000" w:fill="FFFFFF"/>
        </w:rPr>
      </w:pPr>
      <w:r>
        <w:rPr>
          <w:rFonts w:hint="eastAsia" w:ascii="仿宋" w:hAnsi="仿宋" w:eastAsia="仿宋" w:cs="仿宋"/>
          <w:i w:val="0"/>
          <w:caps w:val="0"/>
          <w:color w:val="333333"/>
          <w:spacing w:val="0"/>
          <w:sz w:val="32"/>
          <w:szCs w:val="32"/>
          <w:shd w:val="clear" w:color="070000" w:fill="FFFFFF"/>
          <w:lang w:val="en-US" w:eastAsia="zh-CN"/>
        </w:rPr>
        <w:t xml:space="preserve">    </w:t>
      </w:r>
      <w:r>
        <w:rPr>
          <w:rFonts w:hint="eastAsia" w:ascii="仿宋" w:hAnsi="仿宋" w:eastAsia="仿宋" w:cs="仿宋"/>
          <w:i w:val="0"/>
          <w:caps w:val="0"/>
          <w:color w:val="333333"/>
          <w:spacing w:val="0"/>
          <w:sz w:val="32"/>
          <w:szCs w:val="32"/>
          <w:shd w:val="clear" w:color="070000" w:fill="FFFFFF"/>
          <w:lang w:eastAsia="zh-CN"/>
        </w:rPr>
        <w:t>三、</w:t>
      </w:r>
      <w:r>
        <w:rPr>
          <w:rFonts w:hint="eastAsia" w:ascii="仿宋" w:hAnsi="仿宋" w:eastAsia="仿宋" w:cs="仿宋"/>
          <w:i w:val="0"/>
          <w:caps w:val="0"/>
          <w:color w:val="333333"/>
          <w:spacing w:val="0"/>
          <w:sz w:val="32"/>
          <w:szCs w:val="32"/>
          <w:shd w:val="clear" w:color="070000" w:fill="FFFFFF"/>
        </w:rPr>
        <w:t>检查和处理党的组织和党员违反党的章程和其他党内法规的比较重要或复杂的案件，决定或取消对这些案件中的党员的处分；</w:t>
      </w:r>
    </w:p>
    <w:p>
      <w:pPr>
        <w:numPr>
          <w:ilvl w:val="0"/>
          <w:numId w:val="0"/>
        </w:numPr>
        <w:rPr>
          <w:rFonts w:hint="eastAsia" w:ascii="仿宋" w:hAnsi="仿宋" w:eastAsia="仿宋" w:cs="仿宋"/>
          <w:i w:val="0"/>
          <w:caps w:val="0"/>
          <w:color w:val="333333"/>
          <w:spacing w:val="0"/>
          <w:sz w:val="32"/>
          <w:szCs w:val="32"/>
          <w:shd w:val="clear" w:color="070000" w:fill="FFFFFF"/>
        </w:rPr>
      </w:pPr>
      <w:r>
        <w:rPr>
          <w:rFonts w:hint="eastAsia" w:ascii="仿宋" w:hAnsi="仿宋" w:eastAsia="仿宋" w:cs="仿宋"/>
          <w:i w:val="0"/>
          <w:caps w:val="0"/>
          <w:color w:val="333333"/>
          <w:spacing w:val="0"/>
          <w:sz w:val="32"/>
          <w:szCs w:val="32"/>
          <w:shd w:val="clear" w:color="070000" w:fill="FFFFFF"/>
          <w:lang w:val="en-US" w:eastAsia="zh-CN"/>
        </w:rPr>
        <w:t xml:space="preserve">    </w:t>
      </w:r>
      <w:r>
        <w:rPr>
          <w:rFonts w:hint="eastAsia" w:ascii="仿宋" w:hAnsi="仿宋" w:eastAsia="仿宋" w:cs="仿宋"/>
          <w:i w:val="0"/>
          <w:caps w:val="0"/>
          <w:color w:val="333333"/>
          <w:spacing w:val="0"/>
          <w:sz w:val="32"/>
          <w:szCs w:val="32"/>
          <w:shd w:val="clear" w:color="070000" w:fill="FFFFFF"/>
          <w:lang w:eastAsia="zh-CN"/>
        </w:rPr>
        <w:t>四、</w:t>
      </w:r>
      <w:r>
        <w:rPr>
          <w:rFonts w:hint="eastAsia" w:ascii="仿宋" w:hAnsi="仿宋" w:eastAsia="仿宋" w:cs="仿宋"/>
          <w:i w:val="0"/>
          <w:caps w:val="0"/>
          <w:color w:val="333333"/>
          <w:spacing w:val="0"/>
          <w:sz w:val="32"/>
          <w:szCs w:val="32"/>
          <w:shd w:val="clear" w:color="070000" w:fill="FFFFFF"/>
        </w:rPr>
        <w:t>进行问责或提出责任追究的建议；</w:t>
      </w:r>
    </w:p>
    <w:p>
      <w:pPr>
        <w:numPr>
          <w:ilvl w:val="0"/>
          <w:numId w:val="0"/>
        </w:numPr>
        <w:ind w:firstLine="640" w:firstLineChars="200"/>
        <w:rPr>
          <w:rFonts w:hint="eastAsia" w:ascii="仿宋" w:hAnsi="仿宋" w:eastAsia="仿宋" w:cs="仿宋"/>
          <w:i w:val="0"/>
          <w:caps w:val="0"/>
          <w:color w:val="333333"/>
          <w:spacing w:val="0"/>
          <w:sz w:val="32"/>
          <w:szCs w:val="32"/>
          <w:shd w:val="clear" w:color="070000" w:fill="FFFFFF"/>
        </w:rPr>
      </w:pPr>
      <w:r>
        <w:rPr>
          <w:rFonts w:hint="eastAsia" w:ascii="仿宋" w:hAnsi="仿宋" w:eastAsia="仿宋" w:cs="仿宋"/>
          <w:i w:val="0"/>
          <w:caps w:val="0"/>
          <w:color w:val="333333"/>
          <w:spacing w:val="0"/>
          <w:sz w:val="32"/>
          <w:szCs w:val="32"/>
          <w:shd w:val="clear" w:color="070000" w:fill="FFFFFF"/>
          <w:lang w:eastAsia="zh-CN"/>
        </w:rPr>
        <w:t>五、</w:t>
      </w:r>
      <w:r>
        <w:rPr>
          <w:rFonts w:hint="eastAsia" w:ascii="仿宋" w:hAnsi="仿宋" w:eastAsia="仿宋" w:cs="仿宋"/>
          <w:i w:val="0"/>
          <w:caps w:val="0"/>
          <w:color w:val="333333"/>
          <w:spacing w:val="0"/>
          <w:sz w:val="32"/>
          <w:szCs w:val="32"/>
          <w:shd w:val="clear" w:color="070000" w:fill="FFFFFF"/>
        </w:rPr>
        <w:t>受理党员的控告和申诉；</w:t>
      </w:r>
    </w:p>
    <w:p>
      <w:pPr>
        <w:numPr>
          <w:ilvl w:val="0"/>
          <w:numId w:val="0"/>
        </w:numPr>
        <w:ind w:firstLine="640" w:firstLineChars="200"/>
        <w:rPr>
          <w:rFonts w:hint="eastAsia" w:ascii="仿宋" w:hAnsi="仿宋" w:eastAsia="仿宋" w:cs="仿宋"/>
          <w:i w:val="0"/>
          <w:caps w:val="0"/>
          <w:color w:val="333333"/>
          <w:spacing w:val="0"/>
          <w:sz w:val="32"/>
          <w:szCs w:val="32"/>
          <w:shd w:val="clear" w:color="070000" w:fill="FFFFFF"/>
        </w:rPr>
      </w:pPr>
      <w:r>
        <w:rPr>
          <w:rFonts w:hint="eastAsia" w:ascii="仿宋" w:hAnsi="仿宋" w:eastAsia="仿宋" w:cs="仿宋"/>
          <w:i w:val="0"/>
          <w:caps w:val="0"/>
          <w:color w:val="333333"/>
          <w:spacing w:val="0"/>
          <w:sz w:val="32"/>
          <w:szCs w:val="32"/>
          <w:shd w:val="clear" w:color="070000" w:fill="FFFFFF"/>
          <w:lang w:eastAsia="zh-CN"/>
        </w:rPr>
        <w:t>六、</w:t>
      </w:r>
      <w:r>
        <w:rPr>
          <w:rFonts w:hint="eastAsia" w:ascii="仿宋" w:hAnsi="仿宋" w:eastAsia="仿宋" w:cs="仿宋"/>
          <w:i w:val="0"/>
          <w:caps w:val="0"/>
          <w:color w:val="333333"/>
          <w:spacing w:val="0"/>
          <w:sz w:val="32"/>
          <w:szCs w:val="32"/>
          <w:shd w:val="clear" w:color="070000" w:fill="FFFFFF"/>
        </w:rPr>
        <w:t>保障党员的权利。</w:t>
      </w:r>
    </w:p>
    <w:p>
      <w:pPr>
        <w:widowControl/>
        <w:shd w:val="clear" w:color="auto" w:fill="FFFFFF"/>
        <w:spacing w:line="360"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监察委员会职责：</w:t>
      </w:r>
    </w:p>
    <w:p>
      <w:pPr>
        <w:widowControl/>
        <w:shd w:val="clear" w:color="auto" w:fill="FFFFFF"/>
        <w:spacing w:line="360"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（一）对公职人员开展廉政教育，对其依法履职、秉公用权、廉洁从政从业以及道德操守情况进行监督检查；</w:t>
      </w:r>
    </w:p>
    <w:p>
      <w:pPr>
        <w:widowControl/>
        <w:shd w:val="clear" w:color="auto" w:fill="FFFFFF"/>
        <w:spacing w:line="360"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（二）对涉嫌贪污贿赂、滥用职权、玩忽职守、权力寻租、利益输送、徇私舞弊以及浪费国家资财等职务违法和职务犯罪进行调查；</w:t>
      </w:r>
    </w:p>
    <w:p>
      <w:pPr>
        <w:widowControl/>
        <w:shd w:val="clear" w:color="auto" w:fill="FFFFFF"/>
        <w:snapToGrid/>
        <w:spacing w:line="360" w:lineRule="atLeast"/>
        <w:ind w:firstLine="480" w:firstLineChars="0"/>
        <w:jc w:val="left"/>
        <w:rPr>
          <w:rFonts w:ascii="黑体" w:eastAsia="黑体" w:cs="黑体"/>
          <w:b w:val="0"/>
          <w:bCs w:val="0"/>
          <w:kern w:val="0"/>
          <w:sz w:val="32"/>
          <w:szCs w:val="32"/>
        </w:rPr>
      </w:pPr>
      <w:r>
        <w:rPr>
          <w:rFonts w:hint="eastAsia" w:ascii="仿宋" w:hAnsi="仿宋" w:eastAsia="仿宋" w:cs="仿宋"/>
          <w:color w:val="333333"/>
          <w:kern w:val="0"/>
          <w:sz w:val="32"/>
          <w:szCs w:val="32"/>
        </w:rPr>
        <w:t>（三）对违法的公职人员依法作出政务处分决定；对履行职责不力、失职失责的领导人员进行问责；对涉嫌职务犯罪的，将调查结果移送人民检察院依法审查、提起公诉；向监察对象所在单位提出监察建议。</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 xml:space="preserve">年度本部门决算汇编范围的独立核算单位（以下简称“单位”）共 </w:t>
      </w:r>
      <w:r>
        <w:rPr>
          <w:rFonts w:hint="eastAsia" w:ascii="仿宋_GB2312" w:hAnsi="Calibri" w:eastAsia="仿宋_GB2312" w:cs="Arial Black"/>
          <w:kern w:val="0"/>
          <w:sz w:val="32"/>
          <w:szCs w:val="32"/>
          <w:lang w:val="en-US" w:eastAsia="zh-CN"/>
        </w:rPr>
        <w:t>1</w:t>
      </w:r>
      <w:r>
        <w:rPr>
          <w:rFonts w:hint="eastAsia" w:ascii="仿宋_GB2312" w:hAnsi="Calibri" w:eastAsia="仿宋_GB2312" w:cs="Arial Black"/>
          <w:kern w:val="0"/>
          <w:sz w:val="32"/>
          <w:szCs w:val="32"/>
        </w:rPr>
        <w:t xml:space="preserve"> 个，具体情况如下：</w:t>
      </w:r>
    </w:p>
    <w:tbl>
      <w:tblPr>
        <w:tblStyle w:val="8"/>
        <w:tblpPr w:leftFromText="180" w:rightFromText="180" w:vertAnchor="text" w:horzAnchor="page" w:tblpXSpec="center" w:tblpY="10"/>
        <w:tblOverlap w:val="never"/>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pPr>
              <w:spacing w:line="560" w:lineRule="exact"/>
              <w:rPr>
                <w:rFonts w:ascii="仿宋_GB2312" w:hAnsi="Calibri" w:eastAsia="仿宋_GB2312" w:cs="Arial Black"/>
                <w:kern w:val="0"/>
                <w:sz w:val="28"/>
                <w:szCs w:val="28"/>
              </w:rPr>
            </w:pPr>
            <w:r>
              <w:rPr>
                <w:rFonts w:hint="eastAsia" w:ascii="仿宋_GB2312" w:hAnsi="仿宋" w:eastAsia="仿宋_GB2312" w:cs="仿宋"/>
                <w:sz w:val="32"/>
                <w:szCs w:val="32"/>
                <w:lang w:eastAsia="zh-CN"/>
              </w:rPr>
              <w:t>中国共产党平山县纪律检查委员会</w:t>
            </w:r>
          </w:p>
        </w:tc>
        <w:tc>
          <w:tcPr>
            <w:tcW w:w="2404" w:type="dxa"/>
          </w:tcPr>
          <w:p>
            <w:pPr>
              <w:spacing w:line="560" w:lineRule="exact"/>
              <w:jc w:val="center"/>
              <w:rPr>
                <w:rFonts w:ascii="仿宋_GB2312" w:hAnsi="Calibri" w:eastAsia="仿宋_GB2312" w:cs="Arial Black"/>
                <w:kern w:val="0"/>
                <w:sz w:val="28"/>
                <w:szCs w:val="28"/>
              </w:rPr>
            </w:pPr>
            <w:r>
              <w:rPr>
                <w:rFonts w:hint="eastAsia" w:ascii="仿宋_GB2312" w:eastAsia="仿宋_GB2312" w:cs="ArialUnicodeMS" w:hAnsiTheme="minorHAnsi"/>
                <w:kern w:val="0"/>
                <w:sz w:val="28"/>
                <w:szCs w:val="28"/>
                <w:lang w:eastAsia="zh-CN"/>
              </w:rPr>
              <w:t>行政单位</w:t>
            </w:r>
          </w:p>
        </w:tc>
        <w:tc>
          <w:tcPr>
            <w:tcW w:w="2622" w:type="dxa"/>
          </w:tcPr>
          <w:p>
            <w:pPr>
              <w:spacing w:line="560" w:lineRule="exact"/>
              <w:jc w:val="center"/>
              <w:rPr>
                <w:rFonts w:ascii="仿宋_GB2312" w:hAnsi="Calibri" w:eastAsia="仿宋_GB2312" w:cs="Arial Black"/>
                <w:kern w:val="0"/>
                <w:sz w:val="28"/>
                <w:szCs w:val="28"/>
              </w:rPr>
            </w:pPr>
            <w:r>
              <w:rPr>
                <w:rFonts w:hint="eastAsia" w:ascii="仿宋_GB2312" w:eastAsia="仿宋_GB2312" w:cs="ArialUnicodeMS" w:hAnsiTheme="minorHAnsi"/>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
      <w:pPr>
        <w:widowControl/>
        <w:spacing w:after="160" w:line="580" w:lineRule="exact"/>
        <w:ind w:firstLine="1440" w:firstLineChars="200"/>
        <w:rPr>
          <w:rFonts w:ascii="Times New Roman" w:hAnsi="Times New Roman" w:eastAsia="黑体" w:cs="Times New Roman"/>
          <w:sz w:val="32"/>
          <w:szCs w:val="32"/>
        </w:rPr>
        <w:sectPr>
          <w:headerReference r:id="rId13"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336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336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4384"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4384;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wXDtHdAAAADgEAAA8A&#10;AAAAAAAAAQAgAAAAIgAAAGRycy9kb3ducmV2LnhtbFBLAQIUABQAAAAIAIdO4kBTlixyhAIAAB8F&#10;AAAOAAAAAAAAAAEAIAAAACwBAABkcnMvZTJvRG9jLnhtbFBLBQYAAAAABgAGAFkBAAAiBgAAAAA=&#10;">
                <v:fill type="pattern" on="t" color2="#FFFFFF [3212]" focussize="0,0" r:id="rId17"/>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本部门2020年度收、支总计（含结转和结余）1265.87万元。与2019年度决算相比，收支各增加</w:t>
      </w:r>
      <w:r>
        <w:rPr>
          <w:rFonts w:hint="eastAsia" w:ascii="仿宋_GB2312" w:hAnsi="Times New Roman" w:eastAsia="仿宋_GB2312" w:cs="Wingdings"/>
          <w:sz w:val="32"/>
          <w:szCs w:val="32"/>
          <w:lang w:val="en-US" w:eastAsia="zh-CN"/>
        </w:rPr>
        <w:t>81.11</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6.85</w:t>
      </w:r>
      <w:r>
        <w:rPr>
          <w:rFonts w:hint="eastAsia" w:ascii="仿宋_GB2312" w:hAnsi="Times New Roman" w:eastAsia="仿宋_GB2312" w:cs="Wingdings"/>
          <w:sz w:val="32"/>
          <w:szCs w:val="32"/>
        </w:rPr>
        <w:t>%，主要原因是</w:t>
      </w:r>
      <w:r>
        <w:rPr>
          <w:rFonts w:hint="eastAsia" w:ascii="仿宋_GB2312" w:eastAsia="仿宋_GB2312" w:cs="DengXian-Regular"/>
          <w:sz w:val="32"/>
          <w:szCs w:val="32"/>
        </w:rPr>
        <w:t>人员增加、工资调整、社保费调整基数</w:t>
      </w:r>
      <w:r>
        <w:rPr>
          <w:rFonts w:hint="eastAsia" w:ascii="仿宋_GB2312" w:eastAsia="仿宋_GB2312" w:cs="DengXian-Regular"/>
          <w:sz w:val="32"/>
          <w:szCs w:val="32"/>
          <w:lang w:eastAsia="zh-CN"/>
        </w:rPr>
        <w:t>社保经费等有所增加</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房屋维修</w:t>
      </w:r>
      <w:r>
        <w:rPr>
          <w:rFonts w:hint="eastAsia" w:ascii="仿宋_GB2312" w:eastAsia="仿宋_GB2312" w:cs="DengXian-Regular"/>
          <w:sz w:val="32"/>
          <w:szCs w:val="32"/>
          <w:lang w:eastAsia="zh-CN"/>
        </w:rPr>
        <w:t>费增加</w:t>
      </w:r>
      <w:r>
        <w:rPr>
          <w:rFonts w:hint="eastAsia" w:ascii="仿宋_GB2312" w:eastAsia="仿宋_GB2312" w:cs="DengXian-Regular"/>
          <w:sz w:val="32"/>
          <w:szCs w:val="32"/>
        </w:rPr>
        <w:t>、因人员增加办公设备购置等</w:t>
      </w:r>
      <w:r>
        <w:rPr>
          <w:rFonts w:hint="eastAsia" w:ascii="仿宋_GB2312" w:hAnsi="Times New Roman" w:eastAsia="仿宋_GB2312" w:cs="DengXian-Regular"/>
          <w:sz w:val="32"/>
          <w:szCs w:val="32"/>
        </w:rPr>
        <w:t>。</w:t>
      </w:r>
    </w:p>
    <w:p>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65408" behindDoc="1" locked="0" layoutInCell="1" allowOverlap="1">
            <wp:simplePos x="0" y="0"/>
            <wp:positionH relativeFrom="column">
              <wp:posOffset>744220</wp:posOffset>
            </wp:positionH>
            <wp:positionV relativeFrom="paragraph">
              <wp:posOffset>62230</wp:posOffset>
            </wp:positionV>
            <wp:extent cx="4157980" cy="2273300"/>
            <wp:effectExtent l="0" t="0" r="2540" b="1270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2820"/>
        </w:tabs>
        <w:adjustRightInd w:val="0"/>
        <w:snapToGrid w:val="0"/>
        <w:spacing w:line="600" w:lineRule="exact"/>
        <w:ind w:firstLine="640" w:firstLineChars="200"/>
        <w:rPr>
          <w:rFonts w:ascii="仿宋_GB2312" w:hAnsi="Times New Roman" w:eastAsia="仿宋_GB2312" w:cs="Wingdings"/>
          <w:sz w:val="20"/>
          <w:szCs w:val="20"/>
        </w:rPr>
      </w:pPr>
      <w:r>
        <w:rPr>
          <w:rFonts w:ascii="仿宋_GB2312" w:hAnsi="Times New Roman" w:eastAsia="仿宋_GB2312" w:cs="Wingdings"/>
          <w:sz w:val="32"/>
          <w:szCs w:val="32"/>
        </w:rPr>
        <w:tab/>
      </w:r>
    </w:p>
    <w:p>
      <w:pPr>
        <w:keepNext/>
        <w:keepLines/>
        <w:snapToGrid w:val="0"/>
        <w:spacing w:line="600" w:lineRule="exact"/>
        <w:ind w:firstLine="640" w:firstLineChars="200"/>
        <w:outlineLvl w:val="1"/>
        <w:rPr>
          <w:rFonts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ind w:firstLine="640" w:firstLineChars="200"/>
        <w:rPr>
          <w:rFonts w:ascii="黑体" w:hAnsi="Calibri" w:eastAsia="黑体" w:cs="Times New Roman"/>
          <w:sz w:val="32"/>
          <w:szCs w:val="32"/>
        </w:rPr>
      </w:pPr>
      <w:r>
        <w:rPr>
          <w:rFonts w:hint="eastAsia" w:ascii="仿宋_GB2312" w:hAnsi="Times New Roman" w:eastAsia="仿宋_GB2312" w:cs="Wingdings"/>
          <w:sz w:val="32"/>
          <w:szCs w:val="32"/>
        </w:rPr>
        <w:t>本</w:t>
      </w:r>
      <w:r>
        <w:rPr>
          <w:rFonts w:hint="eastAsia" w:ascii="仿宋_GB2312" w:hAnsi="Times New Roman" w:eastAsia="仿宋_GB2312" w:cs="Wingdings"/>
          <w:color w:val="000000" w:themeColor="text1"/>
          <w:sz w:val="32"/>
          <w:szCs w:val="32"/>
          <w14:textFill>
            <w14:solidFill>
              <w14:schemeClr w14:val="tx1"/>
            </w14:solidFill>
          </w14:textFill>
        </w:rPr>
        <w:t>部门2020年度本年收入合计1261.77万元，其中：财政拨款收入1261.77万元，占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100</w:t>
      </w:r>
      <w:r>
        <w:rPr>
          <w:rFonts w:hint="eastAsia" w:ascii="仿宋_GB2312" w:hAnsi="Times New Roman" w:eastAsia="仿宋_GB2312" w:cs="Wingdings"/>
          <w:color w:val="000000" w:themeColor="text1"/>
          <w:sz w:val="32"/>
          <w:szCs w:val="32"/>
          <w14:textFill>
            <w14:solidFill>
              <w14:schemeClr w14:val="tx1"/>
            </w14:solidFill>
          </w14:textFill>
        </w:rPr>
        <w:t>%；上级补助收入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%；事业收入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%；经营收入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%；附属单位上缴收入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%；其他收入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w:t>
      </w: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本部门2020年度本年支出合计1265.79万元，其中：基本支出808.14万元，占</w:t>
      </w:r>
      <w:r>
        <w:rPr>
          <w:rFonts w:hint="eastAsia" w:ascii="仿宋_GB2312" w:hAnsi="Times New Roman" w:eastAsia="仿宋_GB2312" w:cs="Wingdings"/>
          <w:sz w:val="32"/>
          <w:szCs w:val="32"/>
          <w:lang w:val="en-US" w:eastAsia="zh-CN"/>
        </w:rPr>
        <w:t>63.84</w:t>
      </w:r>
      <w:r>
        <w:rPr>
          <w:rFonts w:hint="eastAsia" w:ascii="仿宋_GB2312" w:hAnsi="Times New Roman" w:eastAsia="仿宋_GB2312" w:cs="Wingdings"/>
          <w:sz w:val="32"/>
          <w:szCs w:val="32"/>
        </w:rPr>
        <w:t>%；项目支出457.65万元，占</w:t>
      </w:r>
      <w:r>
        <w:rPr>
          <w:rFonts w:hint="eastAsia" w:ascii="仿宋_GB2312" w:hAnsi="Times New Roman" w:eastAsia="仿宋_GB2312" w:cs="Wingdings"/>
          <w:sz w:val="32"/>
          <w:szCs w:val="32"/>
          <w:lang w:val="en-US" w:eastAsia="zh-CN"/>
        </w:rPr>
        <w:t>36.16</w:t>
      </w:r>
      <w:r>
        <w:rPr>
          <w:rFonts w:hint="eastAsia" w:ascii="仿宋_GB2312" w:hAnsi="Times New Roman" w:eastAsia="仿宋_GB2312" w:cs="Wingdings"/>
          <w:sz w:val="32"/>
          <w:szCs w:val="32"/>
        </w:rPr>
        <w:t>%；上缴上级支出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%；经营支出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%；对附属单位补助支出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%。如图所示：</w:t>
      </w:r>
    </w:p>
    <w:p>
      <w:pPr>
        <w:adjustRightInd w:val="0"/>
        <w:snapToGrid w:val="0"/>
        <w:spacing w:line="600" w:lineRule="exact"/>
        <w:ind w:firstLine="640" w:firstLineChars="2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r>
        <w:rPr>
          <w:rFonts w:hint="eastAsia" w:ascii="仿宋_GB2312" w:hAnsi="Times New Roman" w:eastAsia="仿宋_GB2312" w:cs="Wingdings"/>
          <w:sz w:val="32"/>
          <w:szCs w:val="32"/>
          <w:lang w:eastAsia="zh-CN"/>
        </w:rPr>
        <w:drawing>
          <wp:anchor distT="0" distB="0" distL="114300" distR="114300" simplePos="0" relativeHeight="251669504" behindDoc="0" locked="0" layoutInCell="1" allowOverlap="1">
            <wp:simplePos x="0" y="0"/>
            <wp:positionH relativeFrom="column">
              <wp:posOffset>1104900</wp:posOffset>
            </wp:positionH>
            <wp:positionV relativeFrom="paragraph">
              <wp:posOffset>5715</wp:posOffset>
            </wp:positionV>
            <wp:extent cx="3357880" cy="1936115"/>
            <wp:effectExtent l="4445" t="4445" r="5715" b="10160"/>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keepNext/>
        <w:keepLines/>
        <w:snapToGrid w:val="0"/>
        <w:spacing w:line="600" w:lineRule="exact"/>
        <w:ind w:firstLine="640" w:firstLineChars="200"/>
        <w:outlineLvl w:val="1"/>
        <w:rPr>
          <w:rFonts w:ascii="黑体" w:hAnsi="Calibri" w:eastAsia="黑体" w:cs="Times New Roman"/>
          <w:b/>
          <w:bCs/>
          <w:sz w:val="32"/>
          <w:szCs w:val="32"/>
        </w:rPr>
      </w:pPr>
      <w:r>
        <w:rPr>
          <w:sz w:val="32"/>
        </w:rPr>
        <mc:AlternateContent>
          <mc:Choice Requires="wps">
            <w:drawing>
              <wp:anchor distT="0" distB="0" distL="114300" distR="114300" simplePos="0" relativeHeight="251660288" behindDoc="1" locked="0" layoutInCell="1" allowOverlap="1">
                <wp:simplePos x="0" y="0"/>
                <wp:positionH relativeFrom="column">
                  <wp:posOffset>1270635</wp:posOffset>
                </wp:positionH>
                <wp:positionV relativeFrom="paragraph">
                  <wp:posOffset>172085</wp:posOffset>
                </wp:positionV>
                <wp:extent cx="3314065" cy="483235"/>
                <wp:effectExtent l="0" t="0" r="8255" b="4445"/>
                <wp:wrapNone/>
                <wp:docPr id="30" name="文本框 30"/>
                <wp:cNvGraphicFramePr/>
                <a:graphic xmlns:a="http://schemas.openxmlformats.org/drawingml/2006/main">
                  <a:graphicData uri="http://schemas.microsoft.com/office/word/2010/wordprocessingShape">
                    <wps:wsp>
                      <wps:cNvSpPr txBox="1"/>
                      <wps:spPr>
                        <a:xfrm>
                          <a:off x="2242820" y="5314315"/>
                          <a:ext cx="3314065" cy="48323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支出决算构成情况（按支出性质）</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05pt;margin-top:13.55pt;height:38.05pt;width:260.95pt;z-index:-251656192;mso-width-relative:page;mso-height-relative:page;" fillcolor="#FFFFFF" filled="t" stroked="f" coordsize="21600,21600" o:gfxdata="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loo19QAAAAKAQAADwAAAAAAAAABACAAAAAi&#10;AAAAZHJzL2Rvd25yZXYueG1sUEsBAhQAFAAAAAgAh07iQMCj38JHAgAAXQQAAA4AAAAAAAAAAQAg&#10;AAAAIwEAAGRycy9lMm9Eb2MueG1sUEsFBgAAAAAGAAYAWQEAANwFA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支出决算构成情况（按支出性质）</w:t>
                      </w:r>
                    </w:p>
                    <w:p>
                      <w:pPr>
                        <w:spacing w:after="160" w:line="480" w:lineRule="auto"/>
                        <w:rPr>
                          <w:rFonts w:ascii="Times New Roman" w:hAnsi="Times New Roman" w:eastAsia="宋体" w:cs="Times New Roman"/>
                          <w:sz w:val="20"/>
                        </w:rPr>
                      </w:pPr>
                    </w:p>
                  </w:txbxContent>
                </v:textbox>
              </v:shape>
            </w:pict>
          </mc:Fallback>
        </mc:AlternateContent>
      </w:r>
    </w:p>
    <w:p>
      <w:pPr>
        <w:keepNext/>
        <w:keepLines/>
        <w:snapToGrid w:val="0"/>
        <w:spacing w:line="600" w:lineRule="exact"/>
        <w:ind w:firstLine="640" w:firstLineChars="200"/>
        <w:outlineLvl w:val="1"/>
        <w:rPr>
          <w:rFonts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Times New Roman" w:eastAsia="仿宋_GB2312" w:cs="Wingdings"/>
          <w:sz w:val="32"/>
          <w:szCs w:val="32"/>
        </w:rPr>
        <w:t>本部门2020年度财政拨款收支均为一般公共预算财政拨款，其中本年收入</w:t>
      </w:r>
      <w:r>
        <w:rPr>
          <w:rFonts w:hint="eastAsia" w:ascii="仿宋_GB2312" w:hAnsi="Times New Roman" w:eastAsia="仿宋_GB2312" w:cs="Wingdings"/>
          <w:color w:val="000000" w:themeColor="text1"/>
          <w:sz w:val="32"/>
          <w:szCs w:val="32"/>
          <w14:textFill>
            <w14:solidFill>
              <w14:schemeClr w14:val="tx1"/>
            </w14:solidFill>
          </w14:textFill>
        </w:rPr>
        <w:t>1261.77</w:t>
      </w:r>
      <w:r>
        <w:rPr>
          <w:rFonts w:hint="eastAsia" w:ascii="仿宋_GB2312" w:hAnsi="Times New Roman" w:eastAsia="仿宋_GB2312" w:cs="Wingdings"/>
          <w:sz w:val="32"/>
          <w:szCs w:val="32"/>
        </w:rPr>
        <w:t>万元,比2019年度增加</w:t>
      </w:r>
      <w:r>
        <w:rPr>
          <w:rFonts w:hint="eastAsia" w:ascii="仿宋_GB2312" w:hAnsi="Times New Roman" w:eastAsia="仿宋_GB2312" w:cs="Wingdings"/>
          <w:sz w:val="32"/>
          <w:szCs w:val="32"/>
          <w:lang w:val="en-US" w:eastAsia="zh-CN"/>
        </w:rPr>
        <w:t>79.52</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6.73</w:t>
      </w:r>
      <w:r>
        <w:rPr>
          <w:rFonts w:hint="eastAsia" w:ascii="仿宋_GB2312" w:hAnsi="Times New Roman" w:eastAsia="仿宋_GB2312" w:cs="Wingdings"/>
          <w:sz w:val="32"/>
          <w:szCs w:val="32"/>
        </w:rPr>
        <w:t>%，主要是</w:t>
      </w:r>
      <w:r>
        <w:rPr>
          <w:rFonts w:hint="eastAsia" w:ascii="仿宋_GB2312" w:eastAsia="仿宋_GB2312" w:cs="DengXian-Regular"/>
          <w:sz w:val="32"/>
          <w:szCs w:val="32"/>
          <w:lang w:eastAsia="zh-CN"/>
        </w:rPr>
        <w:t>人员经费因</w:t>
      </w:r>
      <w:r>
        <w:rPr>
          <w:rFonts w:hint="eastAsia" w:ascii="仿宋_GB2312" w:eastAsia="仿宋_GB2312" w:cs="DengXian-Regular"/>
          <w:sz w:val="32"/>
          <w:szCs w:val="32"/>
        </w:rPr>
        <w:t>人员增加、工资调整、社保费调整基数</w:t>
      </w:r>
      <w:r>
        <w:rPr>
          <w:rFonts w:hint="eastAsia" w:ascii="仿宋_GB2312" w:eastAsia="仿宋_GB2312" w:cs="DengXian-Regular"/>
          <w:sz w:val="32"/>
          <w:szCs w:val="32"/>
          <w:lang w:eastAsia="zh-CN"/>
        </w:rPr>
        <w:t>社保经费等有所增加</w:t>
      </w:r>
      <w:r>
        <w:rPr>
          <w:rFonts w:hint="eastAsia" w:ascii="仿宋_GB2312" w:hAnsi="Times New Roman" w:eastAsia="仿宋_GB2312" w:cs="Wingdings"/>
          <w:sz w:val="32"/>
          <w:szCs w:val="32"/>
        </w:rPr>
        <w:t>；本年支出1265.79万元，增加</w:t>
      </w:r>
      <w:r>
        <w:rPr>
          <w:rFonts w:hint="eastAsia" w:ascii="仿宋_GB2312" w:hAnsi="Times New Roman" w:eastAsia="仿宋_GB2312" w:cs="Wingdings"/>
          <w:sz w:val="32"/>
          <w:szCs w:val="32"/>
          <w:lang w:val="en-US" w:eastAsia="zh-CN"/>
        </w:rPr>
        <w:t>85.12</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7.21</w:t>
      </w:r>
      <w:r>
        <w:rPr>
          <w:rFonts w:hint="eastAsia" w:ascii="仿宋_GB2312" w:hAnsi="Times New Roman" w:eastAsia="仿宋_GB2312" w:cs="Wingdings"/>
          <w:sz w:val="32"/>
          <w:szCs w:val="32"/>
        </w:rPr>
        <w:t>%，主要是</w:t>
      </w:r>
      <w:r>
        <w:rPr>
          <w:rFonts w:hint="eastAsia" w:ascii="仿宋_GB2312" w:eastAsia="仿宋_GB2312" w:cs="DengXian-Regular"/>
          <w:sz w:val="32"/>
          <w:szCs w:val="32"/>
        </w:rPr>
        <w:t>人员增加、工资调整、社保费调整基数、房屋维修、因人员增加办公设备购置等</w:t>
      </w:r>
      <w:r>
        <w:rPr>
          <w:rFonts w:hint="eastAsia" w:ascii="仿宋_GB2312" w:hAnsi="Times New Roman" w:eastAsia="仿宋_GB2312" w:cs="DengXian-Regular"/>
          <w:sz w:val="32"/>
          <w:szCs w:val="32"/>
        </w:rPr>
        <w:t>。</w:t>
      </w: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snapToGrid w:val="0"/>
        <w:spacing w:line="52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本部门2020年度一般公共预算财政拨款收入1261.77万元，完成年初预算的</w:t>
      </w:r>
      <w:r>
        <w:rPr>
          <w:rFonts w:hint="eastAsia" w:ascii="仿宋_GB2312" w:hAnsi="Times New Roman" w:eastAsia="仿宋_GB2312" w:cs="Wingdings"/>
          <w:sz w:val="32"/>
          <w:szCs w:val="32"/>
          <w:lang w:val="en-US" w:eastAsia="zh-CN"/>
        </w:rPr>
        <w:t>156.93</w:t>
      </w:r>
      <w:r>
        <w:rPr>
          <w:rFonts w:hint="eastAsia" w:ascii="仿宋_GB2312" w:hAnsi="Times New Roman" w:eastAsia="仿宋_GB2312" w:cs="Wingdings"/>
          <w:sz w:val="32"/>
          <w:szCs w:val="32"/>
        </w:rPr>
        <w:t>%,比年初预算增加</w:t>
      </w:r>
      <w:r>
        <w:rPr>
          <w:rFonts w:hint="eastAsia" w:ascii="仿宋_GB2312" w:hAnsi="Times New Roman" w:eastAsia="仿宋_GB2312" w:cs="Wingdings"/>
          <w:sz w:val="32"/>
          <w:szCs w:val="32"/>
          <w:lang w:val="en-US" w:eastAsia="zh-CN"/>
        </w:rPr>
        <w:t>457.75</w:t>
      </w:r>
      <w:r>
        <w:rPr>
          <w:rFonts w:hint="eastAsia" w:ascii="仿宋_GB2312" w:hAnsi="Times New Roman" w:eastAsia="仿宋_GB2312" w:cs="Wingdings"/>
          <w:sz w:val="32"/>
          <w:szCs w:val="32"/>
        </w:rPr>
        <w:t>万元，决算数大于预算数主要原因是</w:t>
      </w:r>
      <w:r>
        <w:rPr>
          <w:rFonts w:hint="eastAsia" w:ascii="仿宋_GB2312" w:eastAsia="仿宋_GB2312" w:cs="DengXian-Regular"/>
          <w:sz w:val="32"/>
          <w:szCs w:val="32"/>
        </w:rPr>
        <w:t>人员增加、工资调整、社保费调整基数</w:t>
      </w:r>
      <w:r>
        <w:rPr>
          <w:rFonts w:hint="eastAsia" w:ascii="仿宋_GB2312" w:eastAsia="仿宋_GB2312" w:cs="DengXian-Regular"/>
          <w:sz w:val="32"/>
          <w:szCs w:val="32"/>
          <w:lang w:eastAsia="zh-CN"/>
        </w:rPr>
        <w:t>及增加部分项目经费</w:t>
      </w:r>
      <w:r>
        <w:rPr>
          <w:rFonts w:hint="eastAsia" w:ascii="仿宋_GB2312" w:hAnsi="Times New Roman" w:eastAsia="仿宋_GB2312" w:cs="Wingdings"/>
          <w:sz w:val="32"/>
          <w:szCs w:val="32"/>
        </w:rPr>
        <w:t>；本年支出1265.79万元，完成年初预算的</w:t>
      </w:r>
      <w:r>
        <w:rPr>
          <w:rFonts w:hint="eastAsia" w:ascii="仿宋_GB2312" w:hAnsi="Times New Roman" w:eastAsia="仿宋_GB2312" w:cs="Wingdings"/>
          <w:sz w:val="32"/>
          <w:szCs w:val="32"/>
          <w:lang w:val="en-US" w:eastAsia="zh-CN"/>
        </w:rPr>
        <w:t>157.43</w:t>
      </w:r>
      <w:r>
        <w:rPr>
          <w:rFonts w:hint="eastAsia" w:ascii="仿宋_GB2312" w:hAnsi="Times New Roman" w:eastAsia="仿宋_GB2312" w:cs="Wingdings"/>
          <w:sz w:val="32"/>
          <w:szCs w:val="32"/>
        </w:rPr>
        <w:t>%,比年初预算增加</w:t>
      </w:r>
      <w:r>
        <w:rPr>
          <w:rFonts w:hint="eastAsia" w:ascii="仿宋_GB2312" w:hAnsi="Times New Roman" w:eastAsia="仿宋_GB2312" w:cs="Wingdings"/>
          <w:sz w:val="32"/>
          <w:szCs w:val="32"/>
          <w:lang w:val="en-US" w:eastAsia="zh-CN"/>
        </w:rPr>
        <w:t>461.77</w:t>
      </w:r>
      <w:r>
        <w:rPr>
          <w:rFonts w:hint="eastAsia" w:ascii="仿宋_GB2312" w:hAnsi="Times New Roman" w:eastAsia="仿宋_GB2312" w:cs="Wingdings"/>
          <w:sz w:val="32"/>
          <w:szCs w:val="32"/>
        </w:rPr>
        <w:t>万元，决算数大于预算数主要原因是</w:t>
      </w:r>
      <w:r>
        <w:rPr>
          <w:rFonts w:hint="eastAsia" w:ascii="仿宋_GB2312" w:hAnsi="仿宋" w:eastAsia="仿宋_GB2312"/>
          <w:sz w:val="32"/>
          <w:szCs w:val="32"/>
          <w:lang w:eastAsia="zh-CN"/>
        </w:rPr>
        <w:t>基本支出增加</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人员增加、工资调整、社保费调整基数、房屋维修、因人员增加办公设备购置等</w:t>
      </w:r>
      <w:r>
        <w:rPr>
          <w:rFonts w:hint="eastAsia" w:ascii="仿宋_GB2312" w:eastAsia="仿宋_GB2312" w:cs="DengXian-Regular"/>
          <w:sz w:val="32"/>
          <w:szCs w:val="32"/>
          <w:lang w:eastAsia="zh-CN"/>
        </w:rPr>
        <w:t>；</w:t>
      </w:r>
      <w:r>
        <w:rPr>
          <w:rFonts w:hint="eastAsia" w:ascii="仿宋_GB2312" w:hAnsi="Times New Roman" w:eastAsia="仿宋_GB2312" w:cs="DengXian-Regular"/>
          <w:sz w:val="32"/>
          <w:szCs w:val="32"/>
          <w:lang w:eastAsia="zh-CN"/>
        </w:rPr>
        <w:t>项目支出增加</w:t>
      </w:r>
      <w:r>
        <w:rPr>
          <w:rFonts w:hint="eastAsia" w:ascii="仿宋_GB2312" w:hAnsi="仿宋" w:eastAsia="仿宋_GB2312" w:cs="仿宋"/>
          <w:color w:val="000000"/>
          <w:sz w:val="32"/>
          <w:szCs w:val="32"/>
          <w:lang w:eastAsia="zh-CN"/>
        </w:rPr>
        <w:t>主要是根据上级纪委</w:t>
      </w:r>
      <w:r>
        <w:rPr>
          <w:rFonts w:hint="eastAsia" w:ascii="仿宋_GB2312" w:hAnsi="仿宋_GB2312" w:eastAsia="仿宋_GB2312"/>
          <w:sz w:val="32"/>
        </w:rPr>
        <w:t>《审查调查谈话室建设及安全工作要求（试行）》</w:t>
      </w:r>
      <w:r>
        <w:rPr>
          <w:rFonts w:hint="eastAsia" w:ascii="仿宋_GB2312" w:hAnsi="仿宋_GB2312" w:eastAsia="仿宋_GB2312"/>
          <w:sz w:val="32"/>
          <w:lang w:eastAsia="zh-CN"/>
        </w:rPr>
        <w:t>、</w:t>
      </w:r>
      <w:r>
        <w:rPr>
          <w:rFonts w:hint="eastAsia" w:ascii="仿宋_GB2312" w:hAnsi="仿宋_GB2312" w:eastAsia="仿宋_GB2312" w:cs="仿宋_GB2312"/>
          <w:sz w:val="32"/>
          <w:szCs w:val="32"/>
          <w:lang w:val="en-US" w:eastAsia="zh-CN"/>
        </w:rPr>
        <w:t>《关于对村（居）开展扎捆滚动监督检查和延伸巡察工作的参考意见》等文件要求，</w:t>
      </w:r>
      <w:r>
        <w:rPr>
          <w:rFonts w:hint="eastAsia" w:ascii="仿宋_GB2312" w:hAnsi="仿宋" w:eastAsia="仿宋_GB2312" w:cs="仿宋"/>
          <w:color w:val="000000"/>
          <w:sz w:val="32"/>
          <w:szCs w:val="32"/>
          <w:lang w:eastAsia="zh-CN"/>
        </w:rPr>
        <w:t>增加了乡镇温馨谈话室经费、机关房屋维修改造经费、</w:t>
      </w:r>
      <w:r>
        <w:rPr>
          <w:rFonts w:hint="eastAsia" w:ascii="仿宋_GB2312" w:hAnsi="仿宋" w:eastAsia="仿宋_GB2312" w:cs="仿宋"/>
          <w:color w:val="000000"/>
          <w:sz w:val="32"/>
          <w:szCs w:val="32"/>
          <w:lang w:val="en-US" w:eastAsia="zh-CN"/>
        </w:rPr>
        <w:t>2020年</w:t>
      </w:r>
      <w:r>
        <w:rPr>
          <w:rFonts w:hint="eastAsia" w:ascii="仿宋_GB2312" w:hAnsi="仿宋" w:eastAsia="仿宋_GB2312" w:cs="仿宋"/>
          <w:color w:val="000000"/>
          <w:sz w:val="32"/>
          <w:szCs w:val="32"/>
          <w:lang w:eastAsia="zh-CN"/>
        </w:rPr>
        <w:t>中央政法纪检监察转移支付资金、机关谈话室安装防盗门窗等经费、乡镇走读式谈话室装修改造工程及工程监理费、办案经费、</w:t>
      </w:r>
      <w:r>
        <w:rPr>
          <w:rFonts w:hint="eastAsia" w:ascii="仿宋_GB2312" w:hAnsi="仿宋" w:eastAsia="仿宋_GB2312" w:cs="仿宋"/>
          <w:color w:val="000000"/>
          <w:sz w:val="32"/>
          <w:szCs w:val="32"/>
        </w:rPr>
        <w:t>农村连片监督和延伸巡察工作经费</w:t>
      </w:r>
      <w:r>
        <w:rPr>
          <w:rFonts w:hint="eastAsia" w:ascii="仿宋_GB2312" w:hAnsi="仿宋" w:eastAsia="仿宋_GB2312" w:cs="仿宋"/>
          <w:color w:val="000000"/>
          <w:sz w:val="32"/>
          <w:szCs w:val="32"/>
          <w:lang w:eastAsia="zh-CN"/>
        </w:rPr>
        <w:t>等项目支出</w:t>
      </w:r>
      <w:r>
        <w:rPr>
          <w:rFonts w:hint="eastAsia" w:ascii="仿宋_GB2312" w:hAnsi="仿宋" w:eastAsia="仿宋_GB2312" w:cs="仿宋"/>
          <w:color w:val="000000"/>
          <w:sz w:val="32"/>
          <w:szCs w:val="32"/>
        </w:rPr>
        <w:t>。</w:t>
      </w:r>
    </w:p>
    <w:p>
      <w:pPr>
        <w:numPr>
          <w:ilvl w:val="0"/>
          <w:numId w:val="2"/>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年度财政拨款支出1265.79万元，主要用于以下方面：一般公共服务（类）支出</w:t>
      </w:r>
      <w:bookmarkStart w:id="0" w:name="OLE_LINK1"/>
      <w:r>
        <w:rPr>
          <w:rFonts w:hint="eastAsia" w:ascii="仿宋_GB2312" w:hAnsi="Times New Roman" w:eastAsia="仿宋_GB2312" w:cs="Wingdings"/>
          <w:sz w:val="32"/>
          <w:szCs w:val="32"/>
        </w:rPr>
        <w:t>1146.16</w:t>
      </w:r>
      <w:bookmarkEnd w:id="0"/>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90.55</w:t>
      </w:r>
      <w:r>
        <w:rPr>
          <w:rFonts w:hint="eastAsia" w:ascii="仿宋_GB2312" w:hAnsi="Times New Roman" w:eastAsia="仿宋_GB2312" w:cs="Wingdings"/>
          <w:sz w:val="32"/>
          <w:szCs w:val="32"/>
        </w:rPr>
        <w:t>%；公共安全类（类）支出</w:t>
      </w:r>
      <w:bookmarkStart w:id="1" w:name="OLE_LINK2"/>
      <w:r>
        <w:rPr>
          <w:rFonts w:hint="eastAsia" w:ascii="仿宋_GB2312" w:hAnsi="Times New Roman" w:eastAsia="仿宋_GB2312" w:cs="Wingdings"/>
          <w:sz w:val="32"/>
          <w:szCs w:val="32"/>
        </w:rPr>
        <w:t>24.16</w:t>
      </w:r>
      <w:bookmarkEnd w:id="1"/>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1.91</w:t>
      </w:r>
      <w:r>
        <w:rPr>
          <w:rFonts w:hint="eastAsia" w:ascii="仿宋_GB2312" w:hAnsi="Times New Roman" w:eastAsia="仿宋_GB2312" w:cs="Wingdings"/>
          <w:sz w:val="32"/>
          <w:szCs w:val="32"/>
        </w:rPr>
        <w:t>%；教育（类）支出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%；科学技术（类）支出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 xml:space="preserve">%；社会保障和就业（类）支出 </w:t>
      </w:r>
      <w:bookmarkStart w:id="2" w:name="OLE_LINK3"/>
      <w:r>
        <w:rPr>
          <w:rFonts w:hint="eastAsia" w:ascii="仿宋_GB2312" w:hAnsi="Times New Roman" w:eastAsia="仿宋_GB2312" w:cs="Wingdings"/>
          <w:sz w:val="32"/>
          <w:szCs w:val="32"/>
        </w:rPr>
        <w:t>61.67</w:t>
      </w:r>
      <w:bookmarkEnd w:id="2"/>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4.87</w:t>
      </w:r>
      <w:r>
        <w:rPr>
          <w:rFonts w:hint="eastAsia" w:ascii="仿宋_GB2312" w:hAnsi="Times New Roman" w:eastAsia="仿宋_GB2312" w:cs="Wingdings"/>
          <w:sz w:val="32"/>
          <w:szCs w:val="32"/>
        </w:rPr>
        <w:t>%；住房保障（类）支出</w:t>
      </w:r>
      <w:bookmarkStart w:id="3" w:name="OLE_LINK4"/>
      <w:r>
        <w:rPr>
          <w:rFonts w:hint="eastAsia" w:ascii="仿宋_GB2312" w:hAnsi="Times New Roman" w:eastAsia="仿宋_GB2312" w:cs="Wingdings"/>
          <w:sz w:val="32"/>
          <w:szCs w:val="32"/>
        </w:rPr>
        <w:t>33.8</w:t>
      </w:r>
      <w:bookmarkEnd w:id="3"/>
      <w:r>
        <w:rPr>
          <w:rFonts w:hint="eastAsia" w:ascii="仿宋_GB2312" w:hAnsi="Times New Roman" w:eastAsia="仿宋_GB2312" w:cs="Wingdings"/>
          <w:sz w:val="32"/>
          <w:szCs w:val="32"/>
        </w:rPr>
        <w:t xml:space="preserve">万元，占 </w:t>
      </w:r>
      <w:r>
        <w:rPr>
          <w:rFonts w:hint="eastAsia" w:ascii="仿宋_GB2312" w:hAnsi="Times New Roman" w:eastAsia="仿宋_GB2312" w:cs="Wingdings"/>
          <w:sz w:val="32"/>
          <w:szCs w:val="32"/>
          <w:lang w:val="en-US" w:eastAsia="zh-CN"/>
        </w:rPr>
        <w:t>2.67</w:t>
      </w:r>
      <w:r>
        <w:rPr>
          <w:rFonts w:hint="eastAsia" w:ascii="仿宋_GB2312" w:hAnsi="Times New Roman" w:eastAsia="仿宋_GB2312" w:cs="Wingdings"/>
          <w:sz w:val="32"/>
          <w:szCs w:val="32"/>
        </w:rPr>
        <w:t>%。</w:t>
      </w:r>
    </w:p>
    <w:p>
      <w:pPr>
        <w:adjustRightInd w:val="0"/>
        <w:snapToGrid w:val="0"/>
        <w:spacing w:line="600" w:lineRule="exact"/>
        <w:rPr>
          <w:rFonts w:ascii="楷体_GB2312" w:hAnsi="Times New Roman" w:eastAsia="楷体_GB2312" w:cs="Mongolian Baiti"/>
          <w:b/>
          <w:bCs/>
          <w:sz w:val="32"/>
          <w:szCs w:val="32"/>
        </w:rPr>
      </w:pPr>
      <w:r>
        <w:rPr>
          <w:rFonts w:hint="eastAsia" w:ascii="仿宋_GB2312" w:hAnsi="Times New Roman" w:eastAsia="仿宋_GB2312" w:cs="Wingdings"/>
          <w:sz w:val="32"/>
          <w:szCs w:val="32"/>
          <w:lang w:eastAsia="zh-CN"/>
        </w:rPr>
        <w:drawing>
          <wp:anchor distT="0" distB="0" distL="114300" distR="114300" simplePos="0" relativeHeight="251670528" behindDoc="0" locked="0" layoutInCell="1" allowOverlap="1">
            <wp:simplePos x="0" y="0"/>
            <wp:positionH relativeFrom="column">
              <wp:posOffset>1005840</wp:posOffset>
            </wp:positionH>
            <wp:positionV relativeFrom="paragraph">
              <wp:posOffset>122555</wp:posOffset>
            </wp:positionV>
            <wp:extent cx="4309745" cy="2602230"/>
            <wp:effectExtent l="4445" t="4445" r="10160" b="22225"/>
            <wp:wrapSquare wrapText="bothSides"/>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r>
        <w:rPr>
          <w:sz w:val="32"/>
        </w:rPr>
        <mc:AlternateContent>
          <mc:Choice Requires="wps">
            <w:drawing>
              <wp:anchor distT="0" distB="0" distL="114300" distR="114300" simplePos="0" relativeHeight="251662336" behindDoc="1" locked="0" layoutInCell="1" allowOverlap="1">
                <wp:simplePos x="0" y="0"/>
                <wp:positionH relativeFrom="column">
                  <wp:posOffset>981075</wp:posOffset>
                </wp:positionH>
                <wp:positionV relativeFrom="paragraph">
                  <wp:posOffset>123190</wp:posOffset>
                </wp:positionV>
                <wp:extent cx="3576320" cy="391795"/>
                <wp:effectExtent l="0" t="0" r="5080" b="4445"/>
                <wp:wrapNone/>
                <wp:docPr id="164" name="文本框 32"/>
                <wp:cNvGraphicFramePr/>
                <a:graphic xmlns:a="http://schemas.openxmlformats.org/drawingml/2006/main">
                  <a:graphicData uri="http://schemas.microsoft.com/office/word/2010/wordprocessingShape">
                    <wps:wsp>
                      <wps:cNvSpPr txBox="1"/>
                      <wps:spPr>
                        <a:xfrm>
                          <a:off x="1953260" y="6789420"/>
                          <a:ext cx="3576320" cy="39179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财政拨款支出决算结构（按功能分类）</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77.25pt;margin-top:9.7pt;height:30.85pt;width:281.6pt;z-index:-251654144;mso-width-relative:page;mso-height-relative:page;" fillcolor="#FFFFFF" filled="t" stroked="f" coordsize="21600,21600" o:gfxdata="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7n8w1AAAAAkBAAAPAAAAAAAAAAEAIAAAACIA&#10;AABkcnMvZG93bnJldi54bWxQSwECFAAUAAAACACHTuJAnq1cOUYCAABeBAAADgAAAAAAAAABACAA&#10;AAAjAQAAZHJzL2Uyb0RvYy54bWxQSwUGAAAAAAYABgBZAQAA2wU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财政拨款支出决算结构（按功能分类）</w:t>
                      </w:r>
                    </w:p>
                    <w:p>
                      <w:pPr>
                        <w:spacing w:after="160" w:line="480" w:lineRule="auto"/>
                        <w:rPr>
                          <w:rFonts w:ascii="Times New Roman" w:hAnsi="Times New Roman" w:eastAsia="宋体" w:cs="Times New Roman"/>
                          <w:sz w:val="20"/>
                        </w:rPr>
                      </w:pPr>
                    </w:p>
                  </w:txbxContent>
                </v:textbox>
              </v:shape>
            </w:pict>
          </mc:Fallback>
        </mc:AlternateContent>
      </w:r>
    </w:p>
    <w:p>
      <w:p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年度财政拨款基本支出808.14万元，其中：人员经费 638.31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169.83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本部门2020年度“三公”经费财政拨款支出预算为26.37万元，支出决算为26.37</w:t>
      </w:r>
      <w:r>
        <w:rPr>
          <w:rFonts w:hint="eastAsia" w:ascii="仿宋_GB2312" w:hAnsi="Times New Roman" w:eastAsia="仿宋_GB2312" w:cs="Wingdings"/>
          <w:sz w:val="32"/>
          <w:szCs w:val="32"/>
          <w:lang w:eastAsia="zh-CN"/>
        </w:rPr>
        <w:t>万</w:t>
      </w:r>
      <w:r>
        <w:rPr>
          <w:rFonts w:hint="eastAsia" w:ascii="仿宋_GB2312" w:hAnsi="Times New Roman" w:eastAsia="仿宋_GB2312" w:cs="Wingdings"/>
          <w:sz w:val="32"/>
          <w:szCs w:val="32"/>
        </w:rPr>
        <w:t>元，完成预算的</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w:t>
      </w:r>
      <w:r>
        <w:rPr>
          <w:rFonts w:hint="eastAsia" w:ascii="仿宋_GB2312" w:hAnsi="Times New Roman" w:eastAsia="仿宋_GB2312" w:cs="Wingdings"/>
          <w:color w:val="auto"/>
          <w:sz w:val="32"/>
          <w:szCs w:val="32"/>
          <w:highlight w:val="none"/>
        </w:rPr>
        <w:t>与年初预算持平</w:t>
      </w:r>
      <w:r>
        <w:rPr>
          <w:rFonts w:hint="eastAsia" w:ascii="仿宋_GB2312" w:eastAsia="仿宋_GB2312" w:cs="DengXian-Regular"/>
          <w:sz w:val="32"/>
          <w:szCs w:val="32"/>
          <w:lang w:eastAsia="zh-CN"/>
        </w:rPr>
        <w:t>，</w:t>
      </w:r>
      <w:r>
        <w:rPr>
          <w:rFonts w:hint="eastAsia" w:ascii="仿宋_GB2312" w:hAnsi="Times New Roman" w:eastAsia="仿宋_GB2312" w:cs="Wingdings"/>
          <w:sz w:val="32"/>
          <w:szCs w:val="32"/>
        </w:rPr>
        <w:t>较2019年度减少</w:t>
      </w:r>
      <w:r>
        <w:rPr>
          <w:rFonts w:hint="eastAsia" w:ascii="仿宋_GB2312" w:hAnsi="Times New Roman" w:eastAsia="仿宋_GB2312" w:cs="Wingdings"/>
          <w:sz w:val="32"/>
          <w:szCs w:val="32"/>
          <w:lang w:val="en-US" w:eastAsia="zh-CN"/>
        </w:rPr>
        <w:t>71.02</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72.92</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无发生公务用车购置费</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1.因公出国（境）费。</w:t>
      </w:r>
      <w:r>
        <w:rPr>
          <w:rFonts w:hint="eastAsia" w:ascii="仿宋_GB2312" w:hAnsi="仿宋_GB2312" w:eastAsia="仿宋_GB2312" w:cs="仿宋_GB2312"/>
          <w:sz w:val="32"/>
          <w:szCs w:val="32"/>
        </w:rPr>
        <w:t>本部门2020年因公出国（境）费支出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Times New Roman" w:eastAsia="仿宋_GB2312" w:cs="Wingdings"/>
          <w:sz w:val="32"/>
          <w:szCs w:val="32"/>
        </w:rPr>
        <w:t>因公出国（境）团组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个、共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人、参加其他单位组织的因公出国（境）团组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个、共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人/无本单位组织的出国（境）团组。</w:t>
      </w:r>
      <w:r>
        <w:rPr>
          <w:rFonts w:hint="eastAsia" w:ascii="仿宋_GB2312" w:hAnsi="Times New Roman" w:eastAsia="仿宋_GB2312" w:cs="Wingdings"/>
          <w:sz w:val="32"/>
          <w:szCs w:val="32"/>
          <w:lang w:eastAsia="zh-CN"/>
        </w:rPr>
        <w:t>未发生</w:t>
      </w:r>
      <w:r>
        <w:rPr>
          <w:rFonts w:hint="eastAsia" w:ascii="仿宋_GB2312" w:hAnsi="Times New Roman" w:eastAsia="仿宋_GB2312" w:cs="Wingdings"/>
          <w:sz w:val="32"/>
          <w:szCs w:val="32"/>
        </w:rPr>
        <w:t>因公出国（境）费支出。</w:t>
      </w:r>
      <w:r>
        <w:rPr>
          <w:rFonts w:hint="eastAsia" w:ascii="仿宋_GB2312" w:hAnsi="Times New Roman" w:eastAsia="仿宋_GB2312" w:cs="Wingdings"/>
          <w:sz w:val="32"/>
          <w:szCs w:val="32"/>
        </w:rPr>
        <w:t>因公出国（境）费支出较预算增加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未发生</w:t>
      </w:r>
      <w:r>
        <w:rPr>
          <w:rFonts w:hint="eastAsia" w:ascii="仿宋_GB2312" w:hAnsi="Times New Roman" w:eastAsia="仿宋_GB2312" w:cs="Wingdings"/>
          <w:sz w:val="32"/>
          <w:szCs w:val="32"/>
        </w:rPr>
        <w:t>因公出国（境）费支出</w:t>
      </w:r>
      <w:r>
        <w:rPr>
          <w:rFonts w:hint="eastAsia" w:ascii="仿宋_GB2312" w:hAnsi="Times New Roman" w:eastAsia="仿宋_GB2312" w:cs="Wingdings"/>
          <w:sz w:val="32"/>
          <w:szCs w:val="32"/>
        </w:rPr>
        <w:t>；较上年增加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未发生</w:t>
      </w:r>
      <w:r>
        <w:rPr>
          <w:rFonts w:hint="eastAsia" w:ascii="仿宋_GB2312" w:hAnsi="Times New Roman" w:eastAsia="仿宋_GB2312" w:cs="Wingdings"/>
          <w:sz w:val="32"/>
          <w:szCs w:val="32"/>
        </w:rPr>
        <w:t>因公出国（境）费支出</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仿宋_GB2312" w:hAnsi="仿宋_GB2312" w:eastAsia="仿宋_GB2312" w:cs="仿宋_GB2312"/>
          <w:sz w:val="32"/>
          <w:szCs w:val="32"/>
        </w:rPr>
        <w:t>本部门2020年公务用车购</w:t>
      </w:r>
      <w:r>
        <w:rPr>
          <w:rFonts w:hint="eastAsia" w:ascii="仿宋_GB2312" w:hAnsi="仿宋_GB2312" w:eastAsia="仿宋_GB2312" w:cs="仿宋_GB2312"/>
          <w:color w:val="auto"/>
          <w:sz w:val="32"/>
          <w:szCs w:val="32"/>
          <w:highlight w:val="none"/>
        </w:rPr>
        <w:t>置及运行维护费支出26.37万元，完成预算的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Times New Roman" w:eastAsia="仿宋_GB2312" w:cs="Wingdings"/>
          <w:color w:val="auto"/>
          <w:sz w:val="32"/>
          <w:szCs w:val="32"/>
          <w:highlight w:val="none"/>
        </w:rPr>
        <w:t>与年初预算持平</w:t>
      </w:r>
      <w:r>
        <w:rPr>
          <w:rFonts w:hint="eastAsia" w:ascii="仿宋_GB2312" w:hAnsi="Times New Roman" w:eastAsia="仿宋_GB2312" w:cs="Wingdings"/>
          <w:sz w:val="32"/>
          <w:szCs w:val="32"/>
        </w:rPr>
        <w:t>。较2019年度减少</w:t>
      </w:r>
      <w:r>
        <w:rPr>
          <w:rFonts w:hint="eastAsia" w:ascii="仿宋_GB2312" w:hAnsi="Times New Roman" w:eastAsia="仿宋_GB2312" w:cs="Wingdings"/>
          <w:sz w:val="32"/>
          <w:szCs w:val="32"/>
          <w:lang w:val="en-US" w:eastAsia="zh-CN"/>
        </w:rPr>
        <w:t>71.02</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72.92</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无发生公务用车购置费</w:t>
      </w:r>
      <w:r>
        <w:rPr>
          <w:rFonts w:hint="eastAsia" w:ascii="仿宋_GB2312" w:hAnsi="Times New Roman" w:eastAsia="仿宋_GB2312" w:cs="Wingdings"/>
          <w:sz w:val="32"/>
          <w:szCs w:val="32"/>
        </w:rPr>
        <w:t>。</w:t>
      </w:r>
      <w:r>
        <w:rPr>
          <w:rFonts w:hint="eastAsia" w:ascii="仿宋_GB2312" w:hAnsi="Times New Roman" w:eastAsia="仿宋_GB2312" w:cs="Mongolian Baiti"/>
          <w:b/>
          <w:bCs/>
          <w:sz w:val="32"/>
          <w:szCs w:val="32"/>
        </w:rPr>
        <w:t>其中：</w:t>
      </w:r>
    </w:p>
    <w:p>
      <w:pPr>
        <w:adjustRightInd w:val="0"/>
        <w:snapToGrid w:val="0"/>
        <w:spacing w:line="600" w:lineRule="exact"/>
        <w:ind w:firstLine="643" w:firstLineChars="200"/>
        <w:rPr>
          <w:rFonts w:hint="eastAsia" w:ascii="仿宋_GB2312" w:hAnsi="Times New Roman" w:eastAsia="仿宋_GB2312" w:cs="Wingdings"/>
          <w:sz w:val="32"/>
          <w:szCs w:val="32"/>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本部门2020年度公务用车购置量</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辆，</w:t>
      </w:r>
      <w:r>
        <w:rPr>
          <w:rFonts w:hint="eastAsia" w:ascii="仿宋_GB2312" w:hAnsi="Times New Roman" w:eastAsia="仿宋_GB2312" w:cs="Wingdings"/>
          <w:sz w:val="32"/>
          <w:szCs w:val="32"/>
          <w:lang w:eastAsia="zh-CN"/>
        </w:rPr>
        <w:t>未</w:t>
      </w:r>
      <w:r>
        <w:rPr>
          <w:rFonts w:hint="eastAsia" w:ascii="仿宋_GB2312" w:hAnsi="Times New Roman" w:eastAsia="仿宋_GB2312" w:cs="Wingdings"/>
          <w:sz w:val="32"/>
          <w:szCs w:val="32"/>
        </w:rPr>
        <w:t>发生“公务用车购置”经费支出。</w:t>
      </w:r>
      <w:r>
        <w:rPr>
          <w:rFonts w:hint="eastAsia" w:ascii="仿宋_GB2312" w:hAnsi="Times New Roman" w:eastAsia="仿宋_GB2312" w:cs="Wingdings"/>
          <w:sz w:val="32"/>
          <w:szCs w:val="32"/>
        </w:rPr>
        <w:t>公务用车购置费支出较预算增加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未</w:t>
      </w:r>
      <w:r>
        <w:rPr>
          <w:rFonts w:hint="eastAsia" w:ascii="仿宋_GB2312" w:hAnsi="Times New Roman" w:eastAsia="仿宋_GB2312" w:cs="Wingdings"/>
          <w:sz w:val="32"/>
          <w:szCs w:val="32"/>
        </w:rPr>
        <w:t>发生“公务用车购置”经费支出</w:t>
      </w:r>
      <w:r>
        <w:rPr>
          <w:rFonts w:hint="eastAsia" w:ascii="仿宋_GB2312" w:hAnsi="Times New Roman" w:eastAsia="仿宋_GB2312" w:cs="Wingdings"/>
          <w:sz w:val="32"/>
          <w:szCs w:val="32"/>
        </w:rPr>
        <w:t>；较上年减少</w:t>
      </w:r>
      <w:r>
        <w:rPr>
          <w:rFonts w:hint="eastAsia" w:ascii="仿宋_GB2312" w:hAnsi="Times New Roman" w:eastAsia="仿宋_GB2312" w:cs="Wingdings"/>
          <w:sz w:val="32"/>
          <w:szCs w:val="32"/>
          <w:lang w:val="en-US" w:eastAsia="zh-CN"/>
        </w:rPr>
        <w:t>71.1</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未</w:t>
      </w:r>
      <w:r>
        <w:rPr>
          <w:rFonts w:hint="eastAsia" w:ascii="仿宋_GB2312" w:hAnsi="Times New Roman" w:eastAsia="仿宋_GB2312" w:cs="Wingdings"/>
          <w:sz w:val="32"/>
          <w:szCs w:val="32"/>
        </w:rPr>
        <w:t>发生“公务用车购置”经费支出</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w:t>
      </w:r>
      <w:r>
        <w:rPr>
          <w:rFonts w:hint="eastAsia" w:ascii="仿宋_GB2312" w:hAnsi="Times New Roman" w:eastAsia="仿宋_GB2312" w:cs="Wingdings"/>
          <w:sz w:val="32"/>
          <w:szCs w:val="32"/>
          <w:lang w:val="en-US" w:eastAsia="zh-CN"/>
        </w:rPr>
        <w:t>9</w:t>
      </w:r>
      <w:r>
        <w:rPr>
          <w:rFonts w:hint="eastAsia" w:ascii="仿宋_GB2312" w:hAnsi="Times New Roman" w:eastAsia="仿宋_GB2312" w:cs="Wingdings"/>
          <w:sz w:val="32"/>
          <w:szCs w:val="32"/>
        </w:rPr>
        <w:t>辆,发生运行维护费支出</w:t>
      </w:r>
      <w:r>
        <w:rPr>
          <w:rFonts w:hint="eastAsia" w:ascii="仿宋_GB2312" w:hAnsi="仿宋_GB2312" w:eastAsia="仿宋_GB2312" w:cs="仿宋_GB2312"/>
          <w:color w:val="auto"/>
          <w:sz w:val="32"/>
          <w:szCs w:val="32"/>
          <w:highlight w:val="none"/>
        </w:rPr>
        <w:t>26.37</w:t>
      </w:r>
      <w:r>
        <w:rPr>
          <w:rFonts w:hint="eastAsia" w:ascii="仿宋_GB2312" w:hAnsi="Times New Roman" w:eastAsia="仿宋_GB2312" w:cs="Wingdings"/>
          <w:sz w:val="32"/>
          <w:szCs w:val="32"/>
        </w:rPr>
        <w:t>万元。</w:t>
      </w:r>
      <w:r>
        <w:rPr>
          <w:rFonts w:hint="eastAsia" w:ascii="仿宋_GB2312" w:hAnsi="Times New Roman" w:eastAsia="仿宋_GB2312" w:cs="Wingdings"/>
          <w:sz w:val="32"/>
          <w:szCs w:val="32"/>
          <w:lang w:eastAsia="zh-CN"/>
        </w:rPr>
        <w:t>公务用车</w:t>
      </w:r>
      <w:r>
        <w:rPr>
          <w:rFonts w:hint="eastAsia" w:ascii="仿宋_GB2312" w:hAnsi="Times New Roman" w:eastAsia="仿宋_GB2312" w:cs="Wingdings"/>
          <w:sz w:val="32"/>
          <w:szCs w:val="32"/>
        </w:rPr>
        <w:t>运行维护费支出</w:t>
      </w:r>
      <w:r>
        <w:rPr>
          <w:rFonts w:hint="eastAsia" w:ascii="仿宋_GB2312" w:hAnsi="Times New Roman" w:eastAsia="仿宋_GB2312" w:cs="Wingdings"/>
          <w:color w:val="auto"/>
          <w:sz w:val="32"/>
          <w:szCs w:val="32"/>
          <w:highlight w:val="none"/>
        </w:rPr>
        <w:t>与年初预算持平</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rPr>
        <w:t>较上年增加</w:t>
      </w:r>
      <w:r>
        <w:rPr>
          <w:rFonts w:hint="eastAsia" w:ascii="仿宋_GB2312" w:hAnsi="Times New Roman" w:eastAsia="仿宋_GB2312" w:cs="Wingdings"/>
          <w:sz w:val="32"/>
          <w:szCs w:val="32"/>
          <w:lang w:val="en-US" w:eastAsia="zh-CN"/>
        </w:rPr>
        <w:t>0.08</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0.3</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公务出行增加</w:t>
      </w:r>
      <w:r>
        <w:rPr>
          <w:rFonts w:hint="eastAsia" w:ascii="仿宋_GB2312" w:hAnsi="Times New Roman" w:eastAsia="仿宋_GB2312" w:cs="Wingdings"/>
          <w:sz w:val="32"/>
          <w:szCs w:val="32"/>
        </w:rPr>
        <w:t>。</w:t>
      </w:r>
    </w:p>
    <w:p>
      <w:pPr>
        <w:adjustRightInd w:val="0"/>
        <w:snapToGrid w:val="0"/>
        <w:spacing w:line="600" w:lineRule="exact"/>
        <w:ind w:firstLine="640" w:firstLineChars="200"/>
        <w:rPr>
          <w:rFonts w:hint="eastAsia" w:ascii="仿宋_GB2312" w:hAnsi="Times New Roman" w:eastAsia="仿宋_GB2312" w:cs="Wingdings"/>
          <w:sz w:val="32"/>
          <w:szCs w:val="32"/>
        </w:rPr>
      </w:pPr>
    </w:p>
    <w:p>
      <w:pPr>
        <w:adjustRightInd w:val="0"/>
        <w:snapToGrid w:val="0"/>
        <w:spacing w:line="600" w:lineRule="exact"/>
        <w:ind w:firstLine="643" w:firstLineChars="200"/>
        <w:rPr>
          <w:rFonts w:hint="eastAsia" w:ascii="仿宋_GB2312" w:hAnsi="Times New Roman" w:eastAsia="仿宋_GB2312" w:cs="Wingdings"/>
          <w:sz w:val="32"/>
          <w:szCs w:val="32"/>
          <w:lang w:eastAsia="zh-CN"/>
        </w:rPr>
      </w:pPr>
      <w:r>
        <w:rPr>
          <w:rFonts w:hint="eastAsia" w:ascii="楷体_GB2312" w:hAnsi="Times New Roman" w:eastAsia="楷体_GB2312" w:cs="Mongolian Baiti"/>
          <w:b/>
          <w:bCs/>
          <w:sz w:val="32"/>
          <w:szCs w:val="32"/>
        </w:rPr>
        <w:t>3.公务接待费。</w:t>
      </w:r>
      <w:r>
        <w:rPr>
          <w:rFonts w:hint="eastAsia" w:ascii="仿宋_GB2312" w:hAnsi="仿宋_GB2312" w:eastAsia="仿宋_GB2312" w:cs="仿宋_GB2312"/>
          <w:sz w:val="32"/>
          <w:szCs w:val="32"/>
        </w:rPr>
        <w:t>本部门2020年公务接待费支出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%。发生</w:t>
      </w:r>
      <w:r>
        <w:rPr>
          <w:rFonts w:hint="eastAsia" w:ascii="仿宋_GB2312" w:hAnsi="Times New Roman" w:eastAsia="仿宋_GB2312" w:cs="Wingdings"/>
          <w:sz w:val="32"/>
          <w:szCs w:val="32"/>
        </w:rPr>
        <w:t>公务接待共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批次、</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人次。</w:t>
      </w:r>
      <w:r>
        <w:rPr>
          <w:rFonts w:hint="eastAsia" w:ascii="仿宋_GB2312" w:hAnsi="Times New Roman" w:eastAsia="仿宋_GB2312" w:cs="Wingdings"/>
          <w:sz w:val="32"/>
          <w:szCs w:val="32"/>
          <w:lang w:eastAsia="zh-CN"/>
        </w:rPr>
        <w:t>未发生</w:t>
      </w:r>
      <w:r>
        <w:rPr>
          <w:rFonts w:hint="eastAsia" w:ascii="仿宋_GB2312" w:hAnsi="Times New Roman" w:eastAsia="仿宋_GB2312" w:cs="Wingdings"/>
          <w:sz w:val="32"/>
          <w:szCs w:val="32"/>
        </w:rPr>
        <w:t>公务接待费支出。</w:t>
      </w:r>
      <w:r>
        <w:rPr>
          <w:rFonts w:hint="eastAsia" w:ascii="仿宋_GB2312" w:hAnsi="Times New Roman" w:eastAsia="仿宋_GB2312" w:cs="Wingdings"/>
          <w:sz w:val="32"/>
          <w:szCs w:val="32"/>
          <w:lang w:eastAsia="zh-CN"/>
        </w:rPr>
        <w:t>较预算持平，较上年持平。</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根据预算绩效管理要求，本部门组织对2020年度项目支出全面开展绩效自评，其中，一般公共预算项目</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457.65</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%；政府性基金预算项目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w:t>
      </w:r>
      <w:r>
        <w:rPr>
          <w:rFonts w:hint="eastAsia" w:ascii="仿宋" w:hAnsi="仿宋" w:eastAsia="仿宋" w:cs="仿宋"/>
          <w:b w:val="0"/>
          <w:bCs/>
          <w:sz w:val="32"/>
          <w:szCs w:val="32"/>
          <w:lang w:eastAsia="zh-CN"/>
        </w:rPr>
        <w:t>农村连片监督和延伸巡察工作经费</w:t>
      </w:r>
      <w:r>
        <w:rPr>
          <w:rFonts w:hint="eastAsia" w:ascii="仿宋" w:hAnsi="仿宋" w:eastAsia="仿宋" w:cs="仿宋"/>
          <w:b w:val="0"/>
          <w:bCs w:val="0"/>
          <w:sz w:val="32"/>
          <w:szCs w:val="32"/>
          <w:lang w:eastAsia="zh-CN"/>
        </w:rPr>
        <w:t>项目</w:t>
      </w:r>
      <w:r>
        <w:rPr>
          <w:rFonts w:hint="eastAsia" w:ascii="仿宋" w:hAnsi="仿宋" w:eastAsia="仿宋" w:cs="仿宋"/>
          <w:b w:val="0"/>
          <w:bCs w:val="0"/>
          <w:sz w:val="32"/>
          <w:szCs w:val="32"/>
        </w:rPr>
        <w:t>资金</w:t>
      </w:r>
      <w:r>
        <w:rPr>
          <w:rFonts w:hint="eastAsia" w:ascii="仿宋_GB2312" w:hAnsi="仿宋_GB2312" w:eastAsia="仿宋_GB2312" w:cs="仿宋_GB2312"/>
          <w:sz w:val="32"/>
          <w:szCs w:val="32"/>
        </w:rPr>
        <w:t>”、“</w:t>
      </w:r>
      <w:r>
        <w:rPr>
          <w:rFonts w:hint="eastAsia" w:ascii="仿宋" w:hAnsi="仿宋" w:eastAsia="仿宋" w:cs="仿宋"/>
          <w:b w:val="0"/>
          <w:bCs w:val="0"/>
          <w:color w:val="000000"/>
          <w:sz w:val="32"/>
          <w:szCs w:val="32"/>
          <w:lang w:eastAsia="zh-CN"/>
        </w:rPr>
        <w:t>中央政法纪检监察转移支付资金</w:t>
      </w:r>
      <w:r>
        <w:rPr>
          <w:rFonts w:hint="eastAsia" w:ascii="仿宋" w:hAnsi="仿宋" w:eastAsia="仿宋" w:cs="仿宋"/>
          <w:b w:val="0"/>
          <w:bCs w:val="0"/>
          <w:sz w:val="32"/>
          <w:szCs w:val="32"/>
          <w:lang w:eastAsia="zh-CN"/>
        </w:rPr>
        <w:t>项目</w:t>
      </w:r>
      <w:r>
        <w:rPr>
          <w:rFonts w:hint="eastAsia" w:ascii="仿宋" w:hAnsi="仿宋" w:eastAsia="仿宋" w:cs="仿宋"/>
          <w:b w:val="0"/>
          <w:bCs w:val="0"/>
          <w:sz w:val="32"/>
          <w:szCs w:val="32"/>
        </w:rPr>
        <w:t>资金</w:t>
      </w:r>
      <w:r>
        <w:rPr>
          <w:rFonts w:hint="eastAsia" w:ascii="仿宋_GB2312" w:hAnsi="仿宋_GB2312" w:eastAsia="仿宋_GB2312" w:cs="仿宋_GB2312"/>
          <w:sz w:val="32"/>
          <w:szCs w:val="32"/>
        </w:rPr>
        <w:t>”等项目开展了部门重点评价，涉及一般公共预算支出</w:t>
      </w:r>
      <w:r>
        <w:rPr>
          <w:rFonts w:hint="eastAsia" w:ascii="仿宋_GB2312" w:hAnsi="仿宋_GB2312" w:eastAsia="仿宋_GB2312" w:cs="仿宋_GB2312"/>
          <w:sz w:val="32"/>
          <w:szCs w:val="32"/>
          <w:lang w:val="en-US" w:eastAsia="zh-CN"/>
        </w:rPr>
        <w:t>457.65</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万元。其中，对“</w:t>
      </w:r>
      <w:r>
        <w:rPr>
          <w:rFonts w:hint="eastAsia" w:ascii="仿宋" w:hAnsi="仿宋" w:eastAsia="仿宋" w:cs="仿宋"/>
          <w:b w:val="0"/>
          <w:bCs/>
          <w:sz w:val="32"/>
          <w:szCs w:val="32"/>
          <w:lang w:eastAsia="zh-CN"/>
        </w:rPr>
        <w:t>农村连片监督和延伸巡察工作经费</w:t>
      </w:r>
      <w:r>
        <w:rPr>
          <w:rFonts w:hint="eastAsia" w:ascii="仿宋" w:hAnsi="仿宋" w:eastAsia="仿宋" w:cs="仿宋"/>
          <w:b w:val="0"/>
          <w:bCs w:val="0"/>
          <w:sz w:val="32"/>
          <w:szCs w:val="32"/>
          <w:lang w:eastAsia="zh-CN"/>
        </w:rPr>
        <w:t>项目</w:t>
      </w:r>
      <w:r>
        <w:rPr>
          <w:rFonts w:hint="eastAsia" w:ascii="仿宋" w:hAnsi="仿宋" w:eastAsia="仿宋" w:cs="仿宋"/>
          <w:b w:val="0"/>
          <w:bCs w:val="0"/>
          <w:sz w:val="32"/>
          <w:szCs w:val="32"/>
        </w:rPr>
        <w:t>资金</w:t>
      </w:r>
      <w:r>
        <w:rPr>
          <w:rFonts w:hint="eastAsia" w:ascii="仿宋_GB2312" w:hAnsi="仿宋_GB2312" w:eastAsia="仿宋_GB2312" w:cs="仿宋_GB2312"/>
          <w:sz w:val="32"/>
          <w:szCs w:val="32"/>
        </w:rPr>
        <w:t>”、“</w:t>
      </w:r>
      <w:r>
        <w:rPr>
          <w:rFonts w:hint="eastAsia" w:ascii="仿宋" w:hAnsi="仿宋" w:eastAsia="仿宋" w:cs="仿宋"/>
          <w:b w:val="0"/>
          <w:bCs w:val="0"/>
          <w:color w:val="000000"/>
          <w:sz w:val="32"/>
          <w:szCs w:val="32"/>
          <w:lang w:eastAsia="zh-CN"/>
        </w:rPr>
        <w:t>中央政法纪检监察转移支付资金</w:t>
      </w:r>
      <w:r>
        <w:rPr>
          <w:rFonts w:hint="eastAsia" w:ascii="仿宋" w:hAnsi="仿宋" w:eastAsia="仿宋" w:cs="仿宋"/>
          <w:b w:val="0"/>
          <w:bCs w:val="0"/>
          <w:sz w:val="32"/>
          <w:szCs w:val="32"/>
          <w:lang w:eastAsia="zh-CN"/>
        </w:rPr>
        <w:t>项目</w:t>
      </w:r>
      <w:r>
        <w:rPr>
          <w:rFonts w:hint="eastAsia" w:ascii="仿宋" w:hAnsi="仿宋" w:eastAsia="仿宋" w:cs="仿宋"/>
          <w:b w:val="0"/>
          <w:bCs w:val="0"/>
          <w:sz w:val="32"/>
          <w:szCs w:val="32"/>
        </w:rPr>
        <w:t>资金</w:t>
      </w:r>
      <w:r>
        <w:rPr>
          <w:rFonts w:hint="eastAsia" w:ascii="仿宋_GB2312" w:hAnsi="仿宋_GB2312" w:eastAsia="仿宋_GB2312" w:cs="仿宋_GB2312"/>
          <w:sz w:val="32"/>
          <w:szCs w:val="32"/>
        </w:rPr>
        <w:t>”等项目分别委托部门内</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开展绩效评价。从评价情况来看：</w:t>
      </w:r>
    </w:p>
    <w:p>
      <w:pPr>
        <w:ind w:firstLine="640"/>
        <w:rPr>
          <w:rFonts w:hint="eastAsia" w:ascii="仿宋" w:hAnsi="仿宋" w:eastAsia="仿宋" w:cs="仿宋"/>
          <w:sz w:val="32"/>
          <w:szCs w:val="32"/>
        </w:rPr>
      </w:pPr>
      <w:r>
        <w:rPr>
          <w:rFonts w:hint="eastAsia" w:ascii="仿宋" w:hAnsi="仿宋" w:eastAsia="仿宋" w:cs="仿宋"/>
          <w:b w:val="0"/>
          <w:bCs/>
          <w:sz w:val="32"/>
          <w:szCs w:val="32"/>
          <w:lang w:eastAsia="zh-CN"/>
        </w:rPr>
        <w:t>农村连片监督和延伸巡察工作经费</w:t>
      </w:r>
      <w:r>
        <w:rPr>
          <w:rFonts w:hint="eastAsia" w:ascii="仿宋_GB2312" w:hAnsi="仿宋_GB2312" w:eastAsia="仿宋_GB2312" w:cs="仿宋_GB2312"/>
          <w:sz w:val="32"/>
          <w:szCs w:val="32"/>
        </w:rPr>
        <w:t>项目绩效自评综述：根据年初设定的绩效目标，</w:t>
      </w:r>
      <w:r>
        <w:rPr>
          <w:rFonts w:hint="eastAsia" w:ascii="仿宋" w:hAnsi="仿宋" w:eastAsia="仿宋" w:cs="仿宋"/>
          <w:b w:val="0"/>
          <w:bCs/>
          <w:sz w:val="32"/>
          <w:szCs w:val="32"/>
          <w:lang w:eastAsia="zh-CN"/>
        </w:rPr>
        <w:t>农村连片监督和延伸巡察工作经费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万元，完成预算的100%。项目绩效目标完成情况：</w:t>
      </w:r>
      <w:r>
        <w:rPr>
          <w:rFonts w:hint="eastAsia" w:ascii="仿宋" w:hAnsi="仿宋" w:eastAsia="仿宋" w:cs="仿宋"/>
          <w:b w:val="0"/>
          <w:bCs w:val="0"/>
          <w:sz w:val="32"/>
          <w:szCs w:val="32"/>
        </w:rPr>
        <w:t>根据项目执行情况和项目绩效情况，此项资金为</w:t>
      </w:r>
      <w:r>
        <w:rPr>
          <w:rFonts w:hint="eastAsia" w:ascii="仿宋" w:hAnsi="仿宋" w:eastAsia="仿宋" w:cs="仿宋"/>
          <w:b w:val="0"/>
          <w:bCs w:val="0"/>
          <w:sz w:val="32"/>
          <w:szCs w:val="32"/>
          <w:lang w:eastAsia="zh-CN"/>
        </w:rPr>
        <w:t>监督巡察工作</w:t>
      </w:r>
      <w:r>
        <w:rPr>
          <w:rFonts w:hint="eastAsia" w:ascii="仿宋" w:hAnsi="仿宋" w:eastAsia="仿宋" w:cs="仿宋"/>
          <w:b w:val="0"/>
          <w:bCs w:val="0"/>
          <w:sz w:val="32"/>
          <w:szCs w:val="32"/>
        </w:rPr>
        <w:t>提供了有力保障，发挥了此项资金的最大效益。</w:t>
      </w:r>
      <w:r>
        <w:rPr>
          <w:rFonts w:hint="eastAsia" w:ascii="仿宋_GB2312" w:hAnsi="仿宋_GB2312" w:eastAsia="仿宋_GB2312" w:cs="仿宋_GB2312"/>
          <w:sz w:val="32"/>
          <w:szCs w:val="32"/>
        </w:rPr>
        <w:t>发现的主要问题及原因：</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 w:hAnsi="仿宋" w:eastAsia="仿宋" w:cs="仿宋"/>
          <w:sz w:val="32"/>
          <w:szCs w:val="32"/>
        </w:rPr>
        <w:t>今后将进一步细化专项资金的使用、管理制度，建立健全专项资金的审核制度和资金使用台账制度，确保资金安全。</w:t>
      </w:r>
    </w:p>
    <w:tbl>
      <w:tblPr>
        <w:tblStyle w:val="7"/>
        <w:tblW w:w="8910" w:type="dxa"/>
        <w:tblInd w:w="93" w:type="dxa"/>
        <w:shd w:val="clear" w:color="auto" w:fill="auto"/>
        <w:tblLayout w:type="fixed"/>
        <w:tblCellMar>
          <w:top w:w="0" w:type="dxa"/>
          <w:left w:w="108" w:type="dxa"/>
          <w:bottom w:w="0" w:type="dxa"/>
          <w:right w:w="108" w:type="dxa"/>
        </w:tblCellMar>
      </w:tblPr>
      <w:tblGrid>
        <w:gridCol w:w="1316"/>
        <w:gridCol w:w="307"/>
        <w:gridCol w:w="1377"/>
        <w:gridCol w:w="1051"/>
        <w:gridCol w:w="1374"/>
        <w:gridCol w:w="731"/>
        <w:gridCol w:w="583"/>
        <w:gridCol w:w="1028"/>
        <w:gridCol w:w="1143"/>
      </w:tblGrid>
      <w:tr>
        <w:tblPrEx>
          <w:shd w:val="clear" w:color="auto" w:fill="auto"/>
          <w:tblLayout w:type="fixed"/>
          <w:tblCellMar>
            <w:top w:w="0" w:type="dxa"/>
            <w:left w:w="108" w:type="dxa"/>
            <w:bottom w:w="0" w:type="dxa"/>
            <w:right w:w="108" w:type="dxa"/>
          </w:tblCellMar>
        </w:tblPrEx>
        <w:trPr>
          <w:trHeight w:val="624" w:hRule="atLeast"/>
        </w:trPr>
        <w:tc>
          <w:tcPr>
            <w:tcW w:w="891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县级部门预算项目绩效自评表</w:t>
            </w:r>
          </w:p>
        </w:tc>
      </w:tr>
      <w:tr>
        <w:tblPrEx>
          <w:tblLayout w:type="fixed"/>
          <w:tblCellMar>
            <w:top w:w="0" w:type="dxa"/>
            <w:left w:w="108" w:type="dxa"/>
            <w:bottom w:w="0" w:type="dxa"/>
            <w:right w:w="108" w:type="dxa"/>
          </w:tblCellMar>
        </w:tblPrEx>
        <w:trPr>
          <w:trHeight w:val="276" w:hRule="atLeast"/>
        </w:trPr>
        <w:tc>
          <w:tcPr>
            <w:tcW w:w="1316"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40"/>
                <w:szCs w:val="40"/>
                <w:u w:val="none"/>
              </w:rPr>
            </w:pPr>
          </w:p>
        </w:tc>
        <w:tc>
          <w:tcPr>
            <w:tcW w:w="307"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40"/>
                <w:szCs w:val="40"/>
                <w:u w:val="none"/>
              </w:rPr>
            </w:pPr>
          </w:p>
        </w:tc>
        <w:tc>
          <w:tcPr>
            <w:tcW w:w="137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0"/>
                <w:szCs w:val="40"/>
                <w:u w:val="none"/>
              </w:rPr>
            </w:pPr>
          </w:p>
        </w:tc>
        <w:tc>
          <w:tcPr>
            <w:tcW w:w="10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0"/>
                <w:szCs w:val="40"/>
                <w:u w:val="none"/>
              </w:rPr>
            </w:pPr>
          </w:p>
        </w:tc>
        <w:tc>
          <w:tcPr>
            <w:tcW w:w="210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2020   年度）</w:t>
            </w:r>
          </w:p>
        </w:tc>
        <w:tc>
          <w:tcPr>
            <w:tcW w:w="58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0"/>
                <w:szCs w:val="40"/>
                <w:u w:val="none"/>
              </w:rPr>
            </w:pPr>
          </w:p>
        </w:tc>
        <w:tc>
          <w:tcPr>
            <w:tcW w:w="102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0"/>
                <w:szCs w:val="40"/>
                <w:u w:val="none"/>
              </w:rPr>
            </w:pPr>
          </w:p>
        </w:tc>
        <w:tc>
          <w:tcPr>
            <w:tcW w:w="114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0"/>
                <w:szCs w:val="40"/>
                <w:u w:val="none"/>
              </w:rPr>
            </w:pPr>
          </w:p>
        </w:tc>
      </w:tr>
      <w:tr>
        <w:tblPrEx>
          <w:tblLayout w:type="fixed"/>
          <w:tblCellMar>
            <w:top w:w="0" w:type="dxa"/>
            <w:left w:w="108" w:type="dxa"/>
            <w:bottom w:w="0" w:type="dxa"/>
            <w:right w:w="108" w:type="dxa"/>
          </w:tblCellMar>
        </w:tblPrEx>
        <w:trPr>
          <w:trHeight w:val="270" w:hRule="atLeast"/>
        </w:trPr>
        <w:tc>
          <w:tcPr>
            <w:tcW w:w="131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w:t>
            </w:r>
          </w:p>
        </w:tc>
        <w:tc>
          <w:tcPr>
            <w:tcW w:w="30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802"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中国共产党平山县纪律检查委员会</w:t>
            </w:r>
          </w:p>
        </w:tc>
        <w:tc>
          <w:tcPr>
            <w:tcW w:w="73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71"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Layout w:type="fixed"/>
          <w:tblCellMar>
            <w:top w:w="0" w:type="dxa"/>
            <w:left w:w="108" w:type="dxa"/>
            <w:bottom w:w="0" w:type="dxa"/>
            <w:right w:w="108" w:type="dxa"/>
          </w:tblCellMar>
        </w:tblPrEx>
        <w:trPr>
          <w:trHeight w:val="880"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一、项目情况</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农村连片监督和延伸巡察工作经费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实施（主管）单位</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中国共产党平山县纪律检查委员会</w:t>
            </w:r>
          </w:p>
        </w:tc>
      </w:tr>
      <w:tr>
        <w:tblPrEx>
          <w:tblLayout w:type="fixed"/>
          <w:tblCellMar>
            <w:top w:w="0" w:type="dxa"/>
            <w:left w:w="108" w:type="dxa"/>
            <w:bottom w:w="0" w:type="dxa"/>
            <w:right w:w="108" w:type="dxa"/>
          </w:tblCellMar>
        </w:tblPrEx>
        <w:trPr>
          <w:trHeight w:val="336" w:hRule="atLeast"/>
        </w:trPr>
        <w:tc>
          <w:tcPr>
            <w:tcW w:w="1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二、预算执行情况</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预算安排情况（调整后）</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资金到位情况</w:t>
            </w:r>
          </w:p>
        </w:tc>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资金执行情况</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预算执行进度</w:t>
            </w:r>
          </w:p>
        </w:tc>
      </w:tr>
      <w:tr>
        <w:tblPrEx>
          <w:tblLayout w:type="fixed"/>
          <w:tblCellMar>
            <w:top w:w="0" w:type="dxa"/>
            <w:left w:w="108" w:type="dxa"/>
            <w:bottom w:w="0" w:type="dxa"/>
            <w:right w:w="108" w:type="dxa"/>
          </w:tblCellMar>
        </w:tblPrEx>
        <w:trPr>
          <w:trHeight w:val="270" w:hRule="atLeast"/>
        </w:trPr>
        <w:tc>
          <w:tcPr>
            <w:tcW w:w="1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468" w:hRule="atLeast"/>
        </w:trPr>
        <w:tc>
          <w:tcPr>
            <w:tcW w:w="1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270" w:hRule="atLeast"/>
        </w:trPr>
        <w:tc>
          <w:tcPr>
            <w:tcW w:w="1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270" w:hRule="atLeast"/>
        </w:trPr>
        <w:tc>
          <w:tcPr>
            <w:tcW w:w="1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三、目标完成情况</w:t>
            </w:r>
          </w:p>
        </w:tc>
        <w:tc>
          <w:tcPr>
            <w:tcW w:w="3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年度预期目标</w:t>
            </w:r>
          </w:p>
        </w:tc>
        <w:tc>
          <w:tcPr>
            <w:tcW w:w="2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具体完成情况</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总体完成率</w:t>
            </w:r>
          </w:p>
        </w:tc>
      </w:tr>
      <w:tr>
        <w:tblPrEx>
          <w:tblLayout w:type="fixed"/>
          <w:tblCellMar>
            <w:top w:w="0" w:type="dxa"/>
            <w:left w:w="108" w:type="dxa"/>
            <w:bottom w:w="0" w:type="dxa"/>
            <w:right w:w="108" w:type="dxa"/>
          </w:tblCellMar>
        </w:tblPrEx>
        <w:trPr>
          <w:trHeight w:val="900" w:hRule="atLeast"/>
        </w:trPr>
        <w:tc>
          <w:tcPr>
            <w:tcW w:w="1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切实提高监督的针对性、时效性。</w:t>
            </w:r>
          </w:p>
        </w:tc>
        <w:tc>
          <w:tcPr>
            <w:tcW w:w="2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按照年初计划完成相关年度任务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56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四、年度绩效指标完全情况</w:t>
            </w:r>
          </w:p>
        </w:tc>
        <w:tc>
          <w:tcPr>
            <w:tcW w:w="1684"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预期值指标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自评得分</w:t>
            </w:r>
          </w:p>
        </w:tc>
      </w:tr>
      <w:tr>
        <w:tblPrEx>
          <w:tblLayout w:type="fixed"/>
          <w:tblCellMar>
            <w:top w:w="0" w:type="dxa"/>
            <w:left w:w="108" w:type="dxa"/>
            <w:bottom w:w="0" w:type="dxa"/>
            <w:right w:w="108" w:type="dxa"/>
          </w:tblCellMar>
        </w:tblPrEx>
        <w:trPr>
          <w:trHeight w:val="36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4"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产出指标（40分）</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34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78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参与监督检查工作的人数、开展监督检查的天数完成率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trHeight w:val="92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执法行动任务完成率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trHeight w:val="27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66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预算执行率指标（10分）</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执行数占预算数比例</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trHeight w:val="384"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4"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效益指标（40分）</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76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巡察任务圆满完成</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trHeight w:val="10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监督检查问题改正率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trHeight w:val="384"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14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10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群众满意数量占总数的比例。</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Layout w:type="fixed"/>
          <w:tblCellMar>
            <w:top w:w="0" w:type="dxa"/>
            <w:left w:w="108" w:type="dxa"/>
            <w:bottom w:w="0" w:type="dxa"/>
            <w:right w:w="108" w:type="dxa"/>
          </w:tblCellMar>
        </w:tblPrEx>
        <w:trPr>
          <w:trHeight w:val="27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r>
      <w:tr>
        <w:tblPrEx>
          <w:tblLayout w:type="fixed"/>
          <w:tblCellMar>
            <w:top w:w="0" w:type="dxa"/>
            <w:left w:w="108" w:type="dxa"/>
            <w:bottom w:w="0" w:type="dxa"/>
            <w:right w:w="108" w:type="dxa"/>
          </w:tblCellMar>
        </w:tblPrEx>
        <w:trPr>
          <w:trHeight w:val="96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五、存在问题、原因及下一步整改措施</w:t>
            </w:r>
          </w:p>
        </w:tc>
        <w:tc>
          <w:tcPr>
            <w:tcW w:w="75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pPr>
        <w:numPr>
          <w:numId w:val="0"/>
        </w:num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财政评价项目绩效评价结果</w:t>
      </w:r>
    </w:p>
    <w:p>
      <w:pPr>
        <w:numPr>
          <w:ilvl w:val="0"/>
          <w:numId w:val="0"/>
        </w:numPr>
        <w:adjustRightInd w:val="0"/>
        <w:snapToGrid w:val="0"/>
        <w:spacing w:line="600" w:lineRule="exact"/>
        <w:ind w:leftChars="200" w:firstLine="320" w:firstLineChars="1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lang w:eastAsia="zh-CN"/>
        </w:rPr>
        <w:t>无</w:t>
      </w:r>
      <w:r>
        <w:rPr>
          <w:rFonts w:hint="eastAsia" w:ascii="华文仿宋" w:hAnsi="华文仿宋" w:eastAsia="华文仿宋" w:cs="华文仿宋"/>
          <w:b w:val="0"/>
          <w:bCs w:val="0"/>
          <w:sz w:val="32"/>
          <w:szCs w:val="32"/>
        </w:rPr>
        <w:t>。</w:t>
      </w: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本部门2020年度机关运行经费支出169.83万元，比2019年度增加</w:t>
      </w:r>
      <w:r>
        <w:rPr>
          <w:rFonts w:hint="eastAsia" w:ascii="仿宋_GB2312" w:hAnsi="仿宋_GB2312" w:eastAsia="仿宋_GB2312" w:cs="仿宋_GB2312"/>
          <w:sz w:val="32"/>
          <w:szCs w:val="32"/>
          <w:lang w:val="en-US" w:eastAsia="zh-CN"/>
        </w:rPr>
        <w:t>45.01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36.06</w:t>
      </w:r>
      <w:r>
        <w:rPr>
          <w:rFonts w:hint="eastAsia" w:ascii="仿宋_GB2312" w:hAnsi="仿宋_GB2312" w:eastAsia="仿宋_GB2312" w:cs="仿宋_GB2312"/>
          <w:sz w:val="32"/>
          <w:szCs w:val="32"/>
        </w:rPr>
        <w:t>%。主要原因是</w:t>
      </w:r>
      <w:r>
        <w:rPr>
          <w:rFonts w:hint="eastAsia" w:ascii="仿宋_GB2312" w:eastAsia="仿宋_GB2312" w:cs="DengXian-Regular"/>
          <w:sz w:val="32"/>
          <w:szCs w:val="32"/>
        </w:rPr>
        <w:t>人员</w:t>
      </w:r>
      <w:r>
        <w:rPr>
          <w:rFonts w:hint="eastAsia" w:ascii="仿宋_GB2312" w:eastAsia="仿宋_GB2312" w:cs="DengXian-Regular"/>
          <w:sz w:val="32"/>
          <w:szCs w:val="32"/>
          <w:lang w:eastAsia="zh-CN"/>
        </w:rPr>
        <w:t>变动</w:t>
      </w:r>
      <w:r>
        <w:rPr>
          <w:rFonts w:hint="eastAsia" w:ascii="仿宋_GB2312" w:eastAsia="仿宋_GB2312" w:cs="DengXian-Regular"/>
          <w:sz w:val="32"/>
          <w:szCs w:val="32"/>
        </w:rPr>
        <w:t>、因人员增加办公设备购置</w:t>
      </w:r>
      <w:r>
        <w:rPr>
          <w:rFonts w:hint="eastAsia" w:ascii="仿宋_GB2312" w:eastAsia="仿宋_GB2312" w:cs="DengXian-Regular"/>
          <w:sz w:val="32"/>
          <w:szCs w:val="32"/>
          <w:lang w:eastAsia="zh-CN"/>
        </w:rPr>
        <w:t>等</w:t>
      </w:r>
      <w:r>
        <w:rPr>
          <w:rFonts w:hint="eastAsia" w:ascii="仿宋_GB2312" w:hAnsi="仿宋_GB2312" w:eastAsia="仿宋_GB2312" w:cs="仿宋_GB2312"/>
          <w:sz w:val="32"/>
          <w:szCs w:val="32"/>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八、政府采购情况</w:t>
      </w:r>
    </w:p>
    <w:p>
      <w:pPr>
        <w:snapToGrid w:val="0"/>
        <w:spacing w:line="600" w:lineRule="exact"/>
        <w:ind w:firstLine="640" w:firstLineChars="200"/>
        <w:jc w:val="left"/>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万元，从采购类型来看，</w:t>
      </w:r>
      <w:r>
        <w:rPr>
          <w:rFonts w:hint="eastAsia"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截至2020年12月31日，本部门共有车辆</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辆，比上年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其中，副部（省）级及以上领导用车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台（套），比上年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本部门2020年度未发生</w:t>
      </w:r>
      <w:r>
        <w:rPr>
          <w:rFonts w:hint="eastAsia" w:ascii="仿宋_GB2312" w:hAnsi="仿宋_GB2312" w:eastAsia="仿宋_GB2312" w:cs="仿宋_GB2312"/>
          <w:sz w:val="32"/>
          <w:szCs w:val="32"/>
          <w:highlight w:val="none"/>
        </w:rPr>
        <w:t>政府性基金预算、国有资</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经营预算收支及结转结余情况，故</w:t>
      </w:r>
      <w:r>
        <w:rPr>
          <w:rFonts w:hint="eastAsia" w:ascii="仿宋_GB2312" w:hAnsi="仿宋_GB2312" w:eastAsia="仿宋_GB2312" w:cs="仿宋_GB2312"/>
          <w:sz w:val="32"/>
          <w:szCs w:val="32"/>
        </w:rPr>
        <w:t>政府性基金预算财政拨款收入支出决算表、国有资</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经营预算财政拨款支出决算表等表以空表列示。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r>
        <w:rPr>
          <w:rFonts w:ascii="仿宋_GB2312" w:hAnsi="宋体" w:eastAsia="仿宋_GB2312" w:cs="Arial Black"/>
          <w:sz w:val="32"/>
          <w:szCs w:val="32"/>
        </w:rPr>
        <w:br w:type="page"/>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sz w:val="72"/>
        </w:rPr>
        <mc:AlternateContent>
          <mc:Choice Requires="wps">
            <w:drawing>
              <wp:anchor distT="0" distB="0" distL="114300" distR="114300" simplePos="0" relativeHeight="251661312"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9pt;margin-top:2.05pt;height:263.1pt;width:613.65pt;z-index:251661312;v-text-anchor:middle;mso-width-relative:page;mso-height-relative:page;" fillcolor="#7F7F7F [1612]"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du0e2AAAAAsBAAAPAAAAAAAAAAEAIAAAACIAAABkcnMvZG93bnJldi54&#10;bWxQSwECFAAUAAAACACHTuJA+DKZGGwCAAD+BAAADgAAAAAAAAABACAAAAAnAQAAZHJzL2Uyb0Rv&#10;Yy54bWxQSwUGAAAAAAYABgBZAQAABQYAAAAA&#10;">
                <v:fill type="pattern" on="t" color2="#FFFFFF [3212]" focussize="0,0" r:id="rId17"/>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hint="eastAsia" w:ascii="Times New Roman" w:hAnsi="Times New Roman" w:eastAsia="仿宋_GB2312" w:cs="Times New Roman"/>
          <w:sz w:val="32"/>
          <w:szCs w:val="32"/>
          <w:lang w:eastAsia="zh-CN"/>
        </w:rPr>
        <w:sectPr>
          <w:headerReference r:id="rId14" w:type="default"/>
          <w:pgSz w:w="11906" w:h="16838"/>
          <w:pgMar w:top="2098" w:right="1531" w:bottom="1984" w:left="1531" w:header="851" w:footer="992" w:gutter="0"/>
          <w:pgNumType w:fmt="numberInDash"/>
          <w:cols w:space="0" w:num="1"/>
          <w:titlePg/>
          <w:docGrid w:type="lines" w:linePitch="312" w:charSpace="0"/>
        </w:sect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r>
        <w:rPr>
          <w:rFonts w:hint="eastAsia" w:ascii="仿宋_GB2312" w:hAnsi="Cambria" w:eastAsia="仿宋_GB2312" w:cs="Arial Black"/>
          <w:kern w:val="0"/>
          <w:sz w:val="32"/>
          <w:szCs w:val="32"/>
          <w:lang w:eastAsia="zh-CN"/>
        </w:rPr>
        <w:t>。</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6432" behindDoc="0" locked="0" layoutInCell="1" allowOverlap="1">
                <wp:simplePos x="0" y="0"/>
                <wp:positionH relativeFrom="column">
                  <wp:posOffset>-1046480</wp:posOffset>
                </wp:positionH>
                <wp:positionV relativeFrom="paragraph">
                  <wp:posOffset>1122680</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4pt;margin-top:88.4pt;height:263.1pt;width:613.65pt;z-index:251666432;v-text-anchor:middle;mso-width-relative:page;mso-height-relative:page;" fillcolor="#7F7F7F" filled="t" stroked="t" coordsize="21600,21600" o:gfxdata="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bteOLcAAAA&#10;DQEAAA8AAAAAAAAAAQAgAAAAIgAAAGRycy9kb3ducmV2LnhtbFBLAQIUABQAAAAIAIdO4kDLXY5P&#10;iwIAAFsFAAAOAAAAAAAAAAEAIAAAACsBAABkcnMvZTJvRG9jLnhtbFBLBQYAAAAABgAGAFkBAAAo&#10;BgAAAAA=&#10;">
                <v:fill type="pattern" on="t" color2="#FFFFFF" focussize="0,0" r:id="rId17"/>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tbl>
      <w:tblPr>
        <w:tblStyle w:val="7"/>
        <w:tblW w:w="9252" w:type="dxa"/>
        <w:tblInd w:w="0" w:type="dxa"/>
        <w:tblLayout w:type="fixed"/>
        <w:tblCellMar>
          <w:top w:w="15" w:type="dxa"/>
          <w:left w:w="15" w:type="dxa"/>
          <w:bottom w:w="15" w:type="dxa"/>
          <w:right w:w="15" w:type="dxa"/>
        </w:tblCellMar>
      </w:tblPr>
      <w:tblGrid>
        <w:gridCol w:w="2356"/>
        <w:gridCol w:w="353"/>
        <w:gridCol w:w="79"/>
        <w:gridCol w:w="346"/>
        <w:gridCol w:w="1417"/>
        <w:gridCol w:w="2665"/>
        <w:gridCol w:w="432"/>
        <w:gridCol w:w="1604"/>
      </w:tblGrid>
      <w:tr>
        <w:tblPrEx>
          <w:tblLayout w:type="fixed"/>
          <w:tblCellMar>
            <w:top w:w="15" w:type="dxa"/>
            <w:left w:w="15" w:type="dxa"/>
            <w:bottom w:w="15" w:type="dxa"/>
            <w:right w:w="15" w:type="dxa"/>
          </w:tblCellMar>
        </w:tblPrEx>
        <w:trPr>
          <w:trHeight w:val="672" w:hRule="atLeast"/>
        </w:trPr>
        <w:tc>
          <w:tcPr>
            <w:tcW w:w="9252" w:type="dxa"/>
            <w:gridSpan w:val="8"/>
            <w:tcBorders>
              <w:right w:val="single" w:color="808080" w:sz="4" w:space="0"/>
            </w:tcBorders>
            <w:shd w:val="clear" w:color="auto" w:fill="FFFFFF"/>
            <w:vAlign w:val="center"/>
          </w:tcPr>
          <w:p>
            <w:pPr>
              <w:widowControl/>
              <w:jc w:val="both"/>
              <w:textAlignment w:val="center"/>
              <w:rPr>
                <w:rFonts w:hint="eastAsia" w:ascii="黑体" w:hAnsi="宋体" w:eastAsia="黑体" w:cs="黑体"/>
                <w:color w:val="000000"/>
                <w:kern w:val="0"/>
                <w:sz w:val="30"/>
                <w:szCs w:val="30"/>
                <w:lang w:bidi="ar"/>
              </w:rPr>
            </w:pPr>
          </w:p>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r>
      <w:tr>
        <w:tblPrEx>
          <w:tblLayout w:type="fixed"/>
          <w:tblCellMar>
            <w:top w:w="15" w:type="dxa"/>
            <w:left w:w="15" w:type="dxa"/>
            <w:bottom w:w="15" w:type="dxa"/>
            <w:right w:w="15" w:type="dxa"/>
          </w:tblCellMar>
        </w:tblPrEx>
        <w:trPr>
          <w:trHeight w:val="227" w:hRule="atLeast"/>
        </w:trPr>
        <w:tc>
          <w:tcPr>
            <w:tcW w:w="2356" w:type="dxa"/>
            <w:shd w:val="clear" w:color="auto" w:fill="FFFFFF"/>
            <w:vAlign w:val="center"/>
          </w:tcPr>
          <w:p>
            <w:pPr>
              <w:jc w:val="left"/>
              <w:rPr>
                <w:rFonts w:ascii="宋体" w:hAnsi="宋体" w:eastAsia="宋体" w:cs="宋体"/>
                <w:color w:val="000000"/>
                <w:sz w:val="18"/>
                <w:szCs w:val="18"/>
              </w:rPr>
            </w:pPr>
          </w:p>
        </w:tc>
        <w:tc>
          <w:tcPr>
            <w:tcW w:w="432" w:type="dxa"/>
            <w:gridSpan w:val="2"/>
            <w:shd w:val="clear" w:color="auto" w:fill="FFFFFF"/>
            <w:vAlign w:val="center"/>
          </w:tcPr>
          <w:p>
            <w:pPr>
              <w:jc w:val="left"/>
              <w:rPr>
                <w:rFonts w:ascii="宋体" w:hAnsi="宋体" w:eastAsia="宋体" w:cs="宋体"/>
                <w:color w:val="000000"/>
                <w:sz w:val="18"/>
                <w:szCs w:val="18"/>
              </w:rPr>
            </w:pPr>
          </w:p>
        </w:tc>
        <w:tc>
          <w:tcPr>
            <w:tcW w:w="1763" w:type="dxa"/>
            <w:gridSpan w:val="2"/>
            <w:shd w:val="clear" w:color="auto" w:fill="FFFFFF"/>
            <w:vAlign w:val="center"/>
          </w:tcPr>
          <w:p>
            <w:pPr>
              <w:jc w:val="left"/>
              <w:rPr>
                <w:rFonts w:ascii="宋体" w:hAnsi="宋体" w:eastAsia="宋体" w:cs="宋体"/>
                <w:color w:val="000000"/>
                <w:sz w:val="18"/>
                <w:szCs w:val="18"/>
              </w:rPr>
            </w:pPr>
          </w:p>
        </w:tc>
        <w:tc>
          <w:tcPr>
            <w:tcW w:w="2665" w:type="dxa"/>
            <w:shd w:val="clear" w:color="auto" w:fill="FFFFFF"/>
            <w:vAlign w:val="center"/>
          </w:tcPr>
          <w:p>
            <w:pPr>
              <w:jc w:val="left"/>
              <w:rPr>
                <w:rFonts w:ascii="宋体" w:hAnsi="宋体" w:eastAsia="宋体" w:cs="宋体"/>
                <w:color w:val="000000"/>
                <w:sz w:val="18"/>
                <w:szCs w:val="18"/>
              </w:rPr>
            </w:pPr>
          </w:p>
        </w:tc>
        <w:tc>
          <w:tcPr>
            <w:tcW w:w="432" w:type="dxa"/>
            <w:shd w:val="clear" w:color="auto" w:fill="FFFFFF"/>
            <w:vAlign w:val="center"/>
          </w:tcPr>
          <w:p>
            <w:pPr>
              <w:jc w:val="left"/>
              <w:rPr>
                <w:rFonts w:ascii="宋体" w:hAnsi="宋体" w:eastAsia="宋体" w:cs="宋体"/>
                <w:color w:val="000000"/>
                <w:sz w:val="18"/>
                <w:szCs w:val="18"/>
              </w:rPr>
            </w:pPr>
          </w:p>
        </w:tc>
        <w:tc>
          <w:tcPr>
            <w:tcW w:w="1604" w:type="dxa"/>
            <w:tcBorders>
              <w:right w:val="single" w:color="80808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公开01表</w:t>
            </w:r>
          </w:p>
        </w:tc>
      </w:tr>
      <w:tr>
        <w:tblPrEx>
          <w:tblLayout w:type="fixed"/>
          <w:tblCellMar>
            <w:top w:w="15" w:type="dxa"/>
            <w:left w:w="15" w:type="dxa"/>
            <w:bottom w:w="15" w:type="dxa"/>
            <w:right w:w="15" w:type="dxa"/>
          </w:tblCellMar>
        </w:tblPrEx>
        <w:trPr>
          <w:trHeight w:val="227" w:hRule="atLeast"/>
        </w:trPr>
        <w:tc>
          <w:tcPr>
            <w:tcW w:w="4551" w:type="dxa"/>
            <w:gridSpan w:val="5"/>
            <w:tcBorders>
              <w:bottom w:val="single" w:color="80808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kern w:val="0"/>
                <w:sz w:val="22"/>
                <w:szCs w:val="22"/>
                <w:lang w:bidi="ar"/>
              </w:rPr>
              <w:t>部门：</w:t>
            </w:r>
            <w:r>
              <w:rPr>
                <w:rFonts w:hint="eastAsia" w:ascii="宋体" w:hAnsi="宋体" w:eastAsia="宋体" w:cs="宋体"/>
                <w:color w:val="000000"/>
                <w:kern w:val="0"/>
                <w:sz w:val="22"/>
                <w:szCs w:val="22"/>
                <w:lang w:eastAsia="zh-CN" w:bidi="ar"/>
              </w:rPr>
              <w:t>中国共产党平山县纪律检查委员会</w:t>
            </w:r>
          </w:p>
        </w:tc>
        <w:tc>
          <w:tcPr>
            <w:tcW w:w="2665" w:type="dxa"/>
            <w:tcBorders>
              <w:bottom w:val="single" w:color="808080" w:sz="4" w:space="0"/>
            </w:tcBorders>
            <w:shd w:val="clear" w:color="auto" w:fill="FFFFFF"/>
            <w:vAlign w:val="center"/>
          </w:tcPr>
          <w:p>
            <w:pPr>
              <w:jc w:val="left"/>
              <w:rPr>
                <w:rFonts w:ascii="宋体" w:hAnsi="宋体" w:eastAsia="宋体" w:cs="宋体"/>
                <w:color w:val="000000"/>
                <w:sz w:val="18"/>
                <w:szCs w:val="18"/>
              </w:rPr>
            </w:pPr>
          </w:p>
        </w:tc>
        <w:tc>
          <w:tcPr>
            <w:tcW w:w="432" w:type="dxa"/>
            <w:tcBorders>
              <w:bottom w:val="single" w:color="808080" w:sz="4" w:space="0"/>
            </w:tcBorders>
            <w:shd w:val="clear" w:color="auto" w:fill="FFFFFF"/>
            <w:vAlign w:val="center"/>
          </w:tcPr>
          <w:p>
            <w:pPr>
              <w:jc w:val="left"/>
              <w:rPr>
                <w:rFonts w:ascii="宋体" w:hAnsi="宋体" w:eastAsia="宋体" w:cs="宋体"/>
                <w:color w:val="000000"/>
                <w:sz w:val="18"/>
                <w:szCs w:val="18"/>
              </w:rPr>
            </w:pPr>
          </w:p>
        </w:tc>
        <w:tc>
          <w:tcPr>
            <w:tcW w:w="1604" w:type="dxa"/>
            <w:tcBorders>
              <w:bottom w:val="single" w:color="808080" w:sz="4" w:space="0"/>
              <w:right w:val="single" w:color="80808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金额单位：万元</w:t>
            </w:r>
          </w:p>
        </w:tc>
      </w:tr>
      <w:tr>
        <w:tblPrEx>
          <w:tblLayout w:type="fixed"/>
          <w:tblCellMar>
            <w:top w:w="15" w:type="dxa"/>
            <w:left w:w="15" w:type="dxa"/>
            <w:bottom w:w="15" w:type="dxa"/>
            <w:right w:w="15" w:type="dxa"/>
          </w:tblCellMar>
        </w:tblPrEx>
        <w:trPr>
          <w:trHeight w:val="284" w:hRule="exact"/>
        </w:trPr>
        <w:tc>
          <w:tcPr>
            <w:tcW w:w="4551" w:type="dxa"/>
            <w:gridSpan w:val="5"/>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收入</w:t>
            </w:r>
          </w:p>
        </w:tc>
        <w:tc>
          <w:tcPr>
            <w:tcW w:w="4701" w:type="dxa"/>
            <w:gridSpan w:val="3"/>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支出</w:t>
            </w: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417"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604"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25" w:type="dxa"/>
            <w:gridSpan w:val="2"/>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c>
          <w:tcPr>
            <w:tcW w:w="1417"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32"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c>
          <w:tcPr>
            <w:tcW w:w="1604"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1261.77</w:t>
            </w: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一、一般公共服务支出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1146.16</w:t>
            </w: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二、政府性基金预算财政拨款收入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二、外交支出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三、国有资本经营预算财政拨款收入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三、国防支出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34</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四、上级补助收入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四、公共安全支出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35</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五、事业收入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五、教育支出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六、经营收入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六、科学技术支出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37</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七、附属单位上缴收入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7</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七、文化旅游体育与传媒支出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38</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八、其他收入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八、社会保障和就业支出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39</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61.67</w:t>
            </w: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九、卫生健康支出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40</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24.16</w:t>
            </w: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十、节能环保支出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41</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十一、城乡社区支出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十二、农林水支出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十三、交通运输支出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44</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十四、资源勘探工业信息等支出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45</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十五、商业服务业等支出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十六、金融支出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47</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17</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十七、援助其他地区支出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48</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十八、自然资源海洋气象等支出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49</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十九、住房保障支出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50</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33.8</w:t>
            </w: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二十、粮油物资储备支出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51</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二十一、国有资本经营预算支出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二十二、灾害防治及应急管理支出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二十三、其他支出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54</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二十四、债务还本支出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55</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二十五、债务付息支出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二十六、抗疫特别国债安排的支出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57</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本年收入合计</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27</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1261.77</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本年支出合计</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58</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1265.79</w:t>
            </w: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使用非财政拨款结余</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结余分配</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59</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年初结转和结余</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29</w:t>
            </w:r>
          </w:p>
        </w:tc>
        <w:tc>
          <w:tcPr>
            <w:tcW w:w="1417"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4.1</w:t>
            </w: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年末结转和结余</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60</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0.08</w:t>
            </w: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61</w:t>
            </w:r>
          </w:p>
        </w:tc>
        <w:tc>
          <w:tcPr>
            <w:tcW w:w="1604" w:type="dxa"/>
            <w:tcBorders>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r>
      <w:tr>
        <w:tblPrEx>
          <w:tblLayout w:type="fixed"/>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25" w:type="dxa"/>
            <w:gridSpan w:val="2"/>
            <w:tcBorders>
              <w:bottom w:val="single" w:color="000000" w:sz="18"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1265.87</w:t>
            </w:r>
          </w:p>
        </w:tc>
        <w:tc>
          <w:tcPr>
            <w:tcW w:w="2665" w:type="dxa"/>
            <w:tcBorders>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1265.87</w:t>
            </w:r>
          </w:p>
        </w:tc>
      </w:tr>
      <w:tr>
        <w:tblPrEx>
          <w:tblLayout w:type="fixed"/>
          <w:tblCellMar>
            <w:top w:w="15" w:type="dxa"/>
            <w:left w:w="15" w:type="dxa"/>
            <w:bottom w:w="15" w:type="dxa"/>
            <w:right w:w="15" w:type="dxa"/>
          </w:tblCellMar>
        </w:tblPrEx>
        <w:trPr>
          <w:trHeight w:val="340" w:hRule="exact"/>
        </w:trPr>
        <w:tc>
          <w:tcPr>
            <w:tcW w:w="9252" w:type="dxa"/>
            <w:gridSpan w:val="8"/>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注：本表反映部门（或单位）本年度的总收支和年末结转结余情况。本套报表金额单位转换时可能存在尾数误差。</w:t>
            </w:r>
          </w:p>
        </w:tc>
      </w:tr>
    </w:tbl>
    <w:p>
      <w:pPr>
        <w:spacing w:line="400" w:lineRule="exact"/>
        <w:jc w:val="cente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p>
    <w:tbl>
      <w:tblPr>
        <w:tblStyle w:val="7"/>
        <w:tblW w:w="9582" w:type="dxa"/>
        <w:jc w:val="center"/>
        <w:tblInd w:w="0" w:type="dxa"/>
        <w:tblLayout w:type="fixed"/>
        <w:tblCellMar>
          <w:top w:w="0" w:type="dxa"/>
          <w:left w:w="0" w:type="dxa"/>
          <w:bottom w:w="0" w:type="dxa"/>
          <w:right w:w="0" w:type="dxa"/>
        </w:tblCellMar>
      </w:tblPr>
      <w:tblGrid>
        <w:gridCol w:w="1034"/>
        <w:gridCol w:w="59"/>
        <w:gridCol w:w="59"/>
        <w:gridCol w:w="1362"/>
        <w:gridCol w:w="1009"/>
        <w:gridCol w:w="1009"/>
        <w:gridCol w:w="1009"/>
        <w:gridCol w:w="1009"/>
        <w:gridCol w:w="1009"/>
        <w:gridCol w:w="1009"/>
        <w:gridCol w:w="1014"/>
      </w:tblGrid>
      <w:tr>
        <w:tblPrEx>
          <w:tblLayout w:type="fixed"/>
          <w:tblCellMar>
            <w:top w:w="0" w:type="dxa"/>
            <w:left w:w="0" w:type="dxa"/>
            <w:bottom w:w="0" w:type="dxa"/>
            <w:right w:w="0" w:type="dxa"/>
          </w:tblCellMar>
        </w:tblPrEx>
        <w:trPr>
          <w:trHeight w:val="670"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Layout w:type="fixed"/>
          <w:tblCellMar>
            <w:top w:w="0" w:type="dxa"/>
            <w:left w:w="0" w:type="dxa"/>
            <w:bottom w:w="0" w:type="dxa"/>
            <w:right w:w="0" w:type="dxa"/>
          </w:tblCellMar>
        </w:tblPrEx>
        <w:trPr>
          <w:trHeight w:val="357" w:hRule="atLeast"/>
          <w:jc w:val="center"/>
        </w:trPr>
        <w:tc>
          <w:tcPr>
            <w:tcW w:w="10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Layout w:type="fixed"/>
          <w:tblCellMar>
            <w:top w:w="0" w:type="dxa"/>
            <w:left w:w="0" w:type="dxa"/>
            <w:bottom w:w="0" w:type="dxa"/>
            <w:right w:w="0" w:type="dxa"/>
          </w:tblCellMar>
        </w:tblPrEx>
        <w:trPr>
          <w:trHeight w:val="357" w:hRule="atLeast"/>
          <w:jc w:val="center"/>
        </w:trPr>
        <w:tc>
          <w:tcPr>
            <w:tcW w:w="4532" w:type="dxa"/>
            <w:gridSpan w:val="6"/>
            <w:tcBorders>
              <w:top w:val="nil"/>
              <w:left w:val="nil"/>
              <w:bottom w:val="nil"/>
              <w:right w:val="nil"/>
            </w:tcBorders>
            <w:shd w:val="clear" w:color="auto" w:fill="auto"/>
            <w:tcMar>
              <w:top w:w="15" w:type="dxa"/>
              <w:left w:w="15" w:type="dxa"/>
              <w:right w:w="15" w:type="dxa"/>
            </w:tcMar>
            <w:vAlign w:val="bottom"/>
          </w:tcPr>
          <w:p>
            <w:pPr>
              <w:jc w:val="left"/>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2"/>
                <w:szCs w:val="22"/>
                <w:lang w:eastAsia="zh-CN" w:bidi="ar"/>
              </w:rPr>
              <w:t>中国共产党平山县纪律检查委员会</w:t>
            </w: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3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85" w:hRule="atLeast"/>
          <w:jc w:val="center"/>
        </w:trPr>
        <w:tc>
          <w:tcPr>
            <w:tcW w:w="25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10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Layout w:type="fixed"/>
          <w:tblCellMar>
            <w:top w:w="0" w:type="dxa"/>
            <w:left w:w="0" w:type="dxa"/>
            <w:bottom w:w="0" w:type="dxa"/>
            <w:right w:w="0" w:type="dxa"/>
          </w:tblCellMar>
        </w:tblPrEx>
        <w:trPr>
          <w:trHeight w:val="380" w:hRule="atLeast"/>
          <w:jc w:val="center"/>
        </w:trPr>
        <w:tc>
          <w:tcPr>
            <w:tcW w:w="115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3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r>
      <w:tr>
        <w:tblPrEx>
          <w:tblLayout w:type="fixed"/>
          <w:tblCellMar>
            <w:top w:w="0" w:type="dxa"/>
            <w:left w:w="0" w:type="dxa"/>
            <w:bottom w:w="0" w:type="dxa"/>
            <w:right w:w="0" w:type="dxa"/>
          </w:tblCellMar>
        </w:tblPrEx>
        <w:trPr>
          <w:trHeight w:val="380" w:hRule="atLeast"/>
          <w:jc w:val="center"/>
        </w:trPr>
        <w:tc>
          <w:tcPr>
            <w:tcW w:w="115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15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251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Layout w:type="fixed"/>
          <w:tblCellMar>
            <w:top w:w="0" w:type="dxa"/>
            <w:left w:w="0" w:type="dxa"/>
            <w:bottom w:w="0" w:type="dxa"/>
            <w:right w:w="0" w:type="dxa"/>
          </w:tblCellMar>
        </w:tblPrEx>
        <w:trPr>
          <w:trHeight w:val="385" w:hRule="atLeast"/>
          <w:jc w:val="center"/>
        </w:trPr>
        <w:tc>
          <w:tcPr>
            <w:tcW w:w="251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1,261.77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1,261.77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一般公共服务支出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1,142.14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1,142.14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纪检监察事务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1,142.14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1,142.14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行政运行</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686.00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686.00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2011102</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一般行政管理事务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303.15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303.15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2011105</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派驻派出机构</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23.00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23.00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2011106</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巡视工作</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30.00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30.00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2011199</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其他纪检监察事务支出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100.00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100.00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社会保障和就业支出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行政事业单位养老支出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2080505</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机关事业单位基本养老保险缴费支出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2080506</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机关事业单位职业年金缴费支出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17.77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17.77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卫生健康支出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24.16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24.16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21004</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公共卫生</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2100410</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突发公共卫生事件应急处理</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行政事业单位医疗</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2101101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行政单位医疗</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住房保障支出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住房改革支出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2210201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住房公积金</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7"/>
        <w:tblW w:w="9378" w:type="dxa"/>
        <w:jc w:val="center"/>
        <w:tblInd w:w="0" w:type="dxa"/>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109"/>
      </w:tblGrid>
      <w:tr>
        <w:tblPrEx>
          <w:tblLayout w:type="fixed"/>
          <w:tblCellMar>
            <w:top w:w="0" w:type="dxa"/>
            <w:left w:w="0" w:type="dxa"/>
            <w:bottom w:w="0" w:type="dxa"/>
            <w:right w:w="0" w:type="dxa"/>
          </w:tblCellMar>
        </w:tblPrEx>
        <w:trPr>
          <w:trHeight w:val="612" w:hRule="atLeast"/>
          <w:jc w:val="center"/>
        </w:trPr>
        <w:tc>
          <w:tcPr>
            <w:tcW w:w="9378"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09"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Layout w:type="fixed"/>
          <w:tblCellMar>
            <w:top w:w="0" w:type="dxa"/>
            <w:left w:w="0" w:type="dxa"/>
            <w:bottom w:w="0" w:type="dxa"/>
            <w:right w:w="0" w:type="dxa"/>
          </w:tblCellMar>
        </w:tblPrEx>
        <w:trPr>
          <w:trHeight w:val="313" w:hRule="atLeast"/>
          <w:jc w:val="center"/>
        </w:trPr>
        <w:tc>
          <w:tcPr>
            <w:tcW w:w="3625"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eastAsia="zh-CN" w:bidi="ar"/>
              </w:rPr>
              <w:t>中国共产党平山县纪律检查委员会</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27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1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Layout w:type="fixed"/>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1,265.79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808.14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457.65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1,146.16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688.52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457.65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纪检监察事务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1,146.16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688.52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457.65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688.52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688.52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一般行政管理事务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304.65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304.65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派驻派出机构</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2011106</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巡视工作</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其他纪检监察事务支出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行政事业单位养老支出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机关事业单位基本养老保险缴费支出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2080506</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机关事业单位职业年金缴费支出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17.77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17.77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24.16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24.16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公共卫生</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2100410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突发公共卫生事件应急处理</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住房保障支出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住房改革支出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住房公积金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23" w:hRule="atLeast"/>
          <w:jc w:val="center"/>
        </w:trPr>
        <w:tc>
          <w:tcPr>
            <w:tcW w:w="9378"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bl>
    <w:p>
      <w:r>
        <w:br w:type="page"/>
      </w:r>
    </w:p>
    <w:tbl>
      <w:tblPr>
        <w:tblStyle w:val="7"/>
        <w:tblW w:w="9990" w:type="dxa"/>
        <w:jc w:val="center"/>
        <w:tblInd w:w="0" w:type="dxa"/>
        <w:tblLayout w:type="fixed"/>
        <w:tblCellMar>
          <w:top w:w="0" w:type="dxa"/>
          <w:left w:w="0" w:type="dxa"/>
          <w:bottom w:w="0" w:type="dxa"/>
          <w:right w:w="0" w:type="dxa"/>
        </w:tblCellMar>
      </w:tblPr>
      <w:tblGrid>
        <w:gridCol w:w="1174"/>
        <w:gridCol w:w="67"/>
        <w:gridCol w:w="67"/>
        <w:gridCol w:w="1695"/>
        <w:gridCol w:w="2329"/>
        <w:gridCol w:w="2329"/>
        <w:gridCol w:w="1859"/>
        <w:gridCol w:w="470"/>
      </w:tblGrid>
      <w:tr>
        <w:tblPrEx>
          <w:tblLayout w:type="fixed"/>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tcMar>
              <w:top w:w="15" w:type="dxa"/>
              <w:left w:w="15" w:type="dxa"/>
              <w:right w:w="15" w:type="dxa"/>
            </w:tcMar>
            <w:vAlign w:val="bottom"/>
          </w:tcPr>
          <w:p>
            <w:pPr>
              <w:spacing w:line="32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Layout w:type="fixed"/>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tcMar>
              <w:top w:w="15" w:type="dxa"/>
              <w:left w:w="15" w:type="dxa"/>
              <w:right w:w="15" w:type="dxa"/>
            </w:tcMar>
            <w:vAlign w:val="center"/>
          </w:tcPr>
          <w:tbl>
            <w:tblPr>
              <w:tblStyle w:val="7"/>
              <w:tblW w:w="9736" w:type="dxa"/>
              <w:tblInd w:w="0" w:type="dxa"/>
              <w:tblLayout w:type="fixed"/>
              <w:tblCellMar>
                <w:top w:w="0" w:type="dxa"/>
                <w:left w:w="108" w:type="dxa"/>
                <w:bottom w:w="0" w:type="dxa"/>
                <w:right w:w="108" w:type="dxa"/>
              </w:tblCellMar>
            </w:tblPr>
            <w:tblGrid>
              <w:gridCol w:w="2317"/>
              <w:gridCol w:w="465"/>
              <w:gridCol w:w="748"/>
              <w:gridCol w:w="2456"/>
              <w:gridCol w:w="446"/>
              <w:gridCol w:w="881"/>
              <w:gridCol w:w="810"/>
              <w:gridCol w:w="495"/>
              <w:gridCol w:w="585"/>
              <w:gridCol w:w="533"/>
            </w:tblGrid>
            <w:tr>
              <w:tblPrEx>
                <w:tblLayout w:type="fixed"/>
                <w:tblCellMar>
                  <w:top w:w="0" w:type="dxa"/>
                  <w:left w:w="108" w:type="dxa"/>
                  <w:bottom w:w="0" w:type="dxa"/>
                  <w:right w:w="108" w:type="dxa"/>
                </w:tblCellMar>
              </w:tblPrEx>
              <w:trPr>
                <w:gridAfter w:val="1"/>
                <w:wAfter w:w="533" w:type="dxa"/>
                <w:trHeight w:val="90" w:hRule="atLeast"/>
              </w:trPr>
              <w:tc>
                <w:tcPr>
                  <w:tcW w:w="2317" w:type="dxa"/>
                  <w:tcBorders>
                    <w:top w:val="nil"/>
                    <w:left w:val="nil"/>
                    <w:bottom w:val="nil"/>
                    <w:right w:val="nil"/>
                  </w:tcBorders>
                  <w:shd w:val="clear" w:color="auto" w:fill="auto"/>
                  <w:vAlign w:val="bottom"/>
                </w:tcPr>
                <w:p>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881"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890" w:type="dxa"/>
                  <w:gridSpan w:val="3"/>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tblPrEx>
                <w:tblLayout w:type="fixed"/>
                <w:tblCellMar>
                  <w:top w:w="0" w:type="dxa"/>
                  <w:left w:w="108" w:type="dxa"/>
                  <w:bottom w:w="0" w:type="dxa"/>
                  <w:right w:w="108" w:type="dxa"/>
                </w:tblCellMar>
              </w:tblPrEx>
              <w:trPr>
                <w:gridAfter w:val="1"/>
                <w:wAfter w:w="533" w:type="dxa"/>
                <w:trHeight w:val="90" w:hRule="atLeast"/>
              </w:trPr>
              <w:tc>
                <w:tcPr>
                  <w:tcW w:w="3530" w:type="dxa"/>
                  <w:gridSpan w:val="3"/>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部门：</w:t>
                  </w:r>
                  <w:r>
                    <w:rPr>
                      <w:rFonts w:hint="eastAsia" w:ascii="宋体" w:hAnsi="宋体" w:eastAsia="宋体" w:cs="宋体"/>
                      <w:color w:val="000000"/>
                      <w:kern w:val="0"/>
                      <w:sz w:val="18"/>
                      <w:szCs w:val="18"/>
                      <w:lang w:eastAsia="zh-CN" w:bidi="ar"/>
                    </w:rPr>
                    <w:t>中国共产党平山县纪律检查委员会</w:t>
                  </w: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881"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810"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080" w:type="dxa"/>
                  <w:gridSpan w:val="2"/>
                  <w:tcBorders>
                    <w:top w:val="nil"/>
                    <w:left w:val="nil"/>
                    <w:bottom w:val="nil"/>
                    <w:right w:val="nil"/>
                  </w:tcBorders>
                  <w:shd w:val="clear" w:color="auto" w:fill="auto"/>
                  <w:vAlign w:val="bottom"/>
                </w:tcPr>
                <w:p>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tblPrEx>
                <w:tblLayout w:type="fixed"/>
                <w:tblCellMar>
                  <w:top w:w="0" w:type="dxa"/>
                  <w:left w:w="108" w:type="dxa"/>
                  <w:bottom w:w="0" w:type="dxa"/>
                  <w:right w:w="108" w:type="dxa"/>
                </w:tblCellMar>
              </w:tblPrEx>
              <w:trPr>
                <w:gridAfter w:val="1"/>
                <w:wAfter w:w="533"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67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Layout w:type="fixed"/>
                <w:tblCellMar>
                  <w:top w:w="0" w:type="dxa"/>
                  <w:left w:w="108" w:type="dxa"/>
                  <w:bottom w:w="0" w:type="dxa"/>
                  <w:right w:w="108" w:type="dxa"/>
                </w:tblCellMar>
              </w:tblPrEx>
              <w:trPr>
                <w:gridAfter w:val="1"/>
                <w:wAfter w:w="533"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881"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810"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495"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585"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blPrEx>
                <w:tblLayout w:type="fixed"/>
                <w:tblCellMar>
                  <w:top w:w="0" w:type="dxa"/>
                  <w:left w:w="108" w:type="dxa"/>
                  <w:bottom w:w="0" w:type="dxa"/>
                  <w:right w:w="108" w:type="dxa"/>
                </w:tblCellMar>
              </w:tblPrEx>
              <w:trPr>
                <w:trHeight w:val="90" w:hRule="atLeast"/>
              </w:trPr>
              <w:tc>
                <w:tcPr>
                  <w:tcW w:w="2317"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881"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81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9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58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533" w:type="dxa"/>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1261.77</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r>
                    <w:rPr>
                      <w:rFonts w:hint="eastAsia" w:ascii="Times New Roman" w:hAnsi="Times New Roman" w:eastAsia="Times New Roman" w:cs="Times New Roman"/>
                      <w:kern w:val="0"/>
                      <w:sz w:val="15"/>
                      <w:szCs w:val="15"/>
                    </w:rPr>
                    <w:t>1146.16</w:t>
                  </w: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1146.16</w:t>
                  </w: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881"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810"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881"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24.16</w:t>
                  </w:r>
                </w:p>
              </w:tc>
              <w:tc>
                <w:tcPr>
                  <w:tcW w:w="810"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24.16</w:t>
                  </w: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r>
                    <w:rPr>
                      <w:rFonts w:hint="eastAsia" w:ascii="Times New Roman" w:hAnsi="Times New Roman" w:eastAsia="Times New Roman" w:cs="Times New Roman"/>
                      <w:kern w:val="0"/>
                      <w:sz w:val="15"/>
                      <w:szCs w:val="15"/>
                    </w:rPr>
                    <w:t>33.8</w:t>
                  </w: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33.8</w:t>
                  </w: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1261.77</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r>
                    <w:rPr>
                      <w:rFonts w:hint="eastAsia" w:ascii="Times New Roman" w:hAnsi="Times New Roman" w:eastAsia="Times New Roman" w:cs="Times New Roman"/>
                      <w:kern w:val="0"/>
                      <w:sz w:val="15"/>
                      <w:szCs w:val="15"/>
                    </w:rPr>
                    <w:t>1265.79</w:t>
                  </w: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1265.79</w:t>
                  </w: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4.1</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r>
                    <w:rPr>
                      <w:rFonts w:hint="eastAsia" w:ascii="Times New Roman" w:hAnsi="Times New Roman" w:eastAsia="Times New Roman" w:cs="Times New Roman"/>
                      <w:kern w:val="0"/>
                      <w:sz w:val="15"/>
                      <w:szCs w:val="15"/>
                    </w:rPr>
                    <w:t>0.08</w:t>
                  </w: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0.08</w:t>
                  </w: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4.1</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1265.87</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88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lang w:val="en-US" w:eastAsia="zh-CN" w:bidi="ar-SA"/>
                    </w:rPr>
                  </w:pPr>
                  <w:r>
                    <w:rPr>
                      <w:rFonts w:hint="eastAsia" w:ascii="Times New Roman" w:hAnsi="Times New Roman" w:eastAsia="Times New Roman" w:cs="Times New Roman"/>
                      <w:kern w:val="0"/>
                      <w:sz w:val="15"/>
                      <w:szCs w:val="15"/>
                    </w:rPr>
                    <w:t>1265.87</w:t>
                  </w:r>
                </w:p>
              </w:tc>
              <w:tc>
                <w:tcPr>
                  <w:tcW w:w="81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1265.87</w:t>
                  </w:r>
                </w:p>
              </w:tc>
              <w:tc>
                <w:tcPr>
                  <w:tcW w:w="49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8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9203" w:type="dxa"/>
                  <w:gridSpan w:val="9"/>
                  <w:tcBorders>
                    <w:top w:val="nil"/>
                    <w:left w:val="nil"/>
                    <w:bottom w:val="nil"/>
                    <w:right w:val="single" w:color="000000" w:sz="4" w:space="0"/>
                  </w:tcBorders>
                  <w:shd w:val="clear" w:color="auto" w:fill="auto"/>
                  <w:vAlign w:val="center"/>
                </w:tcPr>
                <w:p>
                  <w:pPr>
                    <w:widowControl/>
                    <w:spacing w:line="20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533" w:type="dxa"/>
                  <w:vAlign w:val="center"/>
                </w:tcPr>
                <w:p>
                  <w:pPr>
                    <w:widowControl/>
                    <w:jc w:val="left"/>
                    <w:rPr>
                      <w:rFonts w:ascii="Times New Roman" w:hAnsi="Times New Roman" w:eastAsia="Times New Roman" w:cs="Times New Roman"/>
                      <w:kern w:val="0"/>
                      <w:sz w:val="15"/>
                      <w:szCs w:val="15"/>
                    </w:rPr>
                  </w:pPr>
                </w:p>
              </w:tc>
            </w:tr>
            <w:tr>
              <w:tblPrEx>
                <w:tblLayout w:type="fixed"/>
                <w:tblCellMar>
                  <w:top w:w="0" w:type="dxa"/>
                  <w:left w:w="108" w:type="dxa"/>
                  <w:bottom w:w="0" w:type="dxa"/>
                  <w:right w:w="108" w:type="dxa"/>
                </w:tblCellMar>
              </w:tblPrEx>
              <w:trPr>
                <w:trHeight w:val="90" w:hRule="atLeast"/>
              </w:trPr>
              <w:tc>
                <w:tcPr>
                  <w:tcW w:w="9203" w:type="dxa"/>
                  <w:gridSpan w:val="9"/>
                  <w:tcBorders>
                    <w:top w:val="nil"/>
                    <w:left w:val="nil"/>
                    <w:bottom w:val="nil"/>
                    <w:right w:val="nil"/>
                  </w:tcBorders>
                  <w:shd w:val="clear" w:color="auto" w:fill="auto"/>
                  <w:vAlign w:val="center"/>
                </w:tcPr>
                <w:p>
                  <w:pPr>
                    <w:widowControl/>
                    <w:spacing w:line="240" w:lineRule="exact"/>
                    <w:jc w:val="left"/>
                    <w:rPr>
                      <w:rFonts w:ascii="宋体" w:hAnsi="宋体" w:eastAsia="宋体" w:cs="Arial"/>
                      <w:color w:val="000000"/>
                      <w:kern w:val="0"/>
                      <w:sz w:val="15"/>
                      <w:szCs w:val="15"/>
                    </w:rPr>
                  </w:pPr>
                </w:p>
              </w:tc>
              <w:tc>
                <w:tcPr>
                  <w:tcW w:w="533" w:type="dxa"/>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32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Layout w:type="fixed"/>
          <w:tblCellMar>
            <w:top w:w="0" w:type="dxa"/>
            <w:left w:w="0" w:type="dxa"/>
            <w:bottom w:w="0" w:type="dxa"/>
            <w:right w:w="0" w:type="dxa"/>
          </w:tblCellMar>
        </w:tblPrEx>
        <w:trPr>
          <w:trHeight w:val="255" w:hRule="atLeast"/>
          <w:jc w:val="center"/>
        </w:trPr>
        <w:tc>
          <w:tcPr>
            <w:tcW w:w="5332"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eastAsia="zh-CN" w:bidi="ar"/>
              </w:rPr>
              <w:t>中国共产党平山县纪律检查委员会</w:t>
            </w:r>
          </w:p>
        </w:tc>
        <w:tc>
          <w:tcPr>
            <w:tcW w:w="46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98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6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32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1,265.79</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808.14</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457.65</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一般公共服务支出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1,146.16</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688.52</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457.65</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纪检监察事务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1,146.16</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688.52</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457.65</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行政运行</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688.52</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688.52</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2011102</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一般行政管理事务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304.65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304.65</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2011105</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派驻派出机构</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23.00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23.00</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2011106</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巡视工作</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30.00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30.00</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2011199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其他纪检监察事务支出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100.00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100.00</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社会保障和就业支出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行政事业单位养老支出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61.67</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2080505</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机关事业单位基本养老保险缴费支出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2080506</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机关事业单位职业年金缴费支出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17.77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17.77</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卫生健康支出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24.16</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24.16</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21004</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公共卫生</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2100410</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突发公共卫生事件应急处理</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行政单位医疗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22.56</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住房保障支出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住房改革支出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住房公积金</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33.80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bl>
    <w:p>
      <w:pP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r>
        <w:br w:type="page"/>
      </w:r>
    </w:p>
    <w:tbl>
      <w:tblPr>
        <w:tblStyle w:val="7"/>
        <w:tblW w:w="14076" w:type="dxa"/>
        <w:jc w:val="center"/>
        <w:tblInd w:w="0" w:type="dxa"/>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Layout w:type="fixed"/>
          <w:tblCellMar>
            <w:top w:w="0" w:type="dxa"/>
            <w:left w:w="0" w:type="dxa"/>
            <w:bottom w:w="0" w:type="dxa"/>
            <w:right w:w="0" w:type="dxa"/>
          </w:tblCellMar>
        </w:tblPrEx>
        <w:trPr>
          <w:trHeight w:val="404"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tblPrEx>
          <w:tblLayout w:type="fixed"/>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Layout w:type="fixed"/>
          <w:tblCellMar>
            <w:top w:w="0" w:type="dxa"/>
            <w:left w:w="0" w:type="dxa"/>
            <w:bottom w:w="0" w:type="dxa"/>
            <w:right w:w="0" w:type="dxa"/>
          </w:tblCellMar>
        </w:tblPrEx>
        <w:trPr>
          <w:trHeight w:val="61" w:hRule="atLeast"/>
          <w:jc w:val="center"/>
        </w:trPr>
        <w:tc>
          <w:tcPr>
            <w:tcW w:w="5045" w:type="dxa"/>
            <w:gridSpan w:val="3"/>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r>
              <w:rPr>
                <w:rFonts w:hint="eastAsia" w:ascii="宋体" w:hAnsi="宋体" w:eastAsia="宋体" w:cs="宋体"/>
                <w:color w:val="000000"/>
                <w:kern w:val="0"/>
                <w:sz w:val="16"/>
                <w:szCs w:val="16"/>
                <w:lang w:bidi="ar"/>
              </w:rPr>
              <w:t>部门：</w:t>
            </w:r>
            <w:r>
              <w:rPr>
                <w:rFonts w:hint="eastAsia" w:ascii="宋体" w:hAnsi="宋体" w:eastAsia="宋体" w:cs="宋体"/>
                <w:color w:val="000000"/>
                <w:kern w:val="0"/>
                <w:sz w:val="18"/>
                <w:szCs w:val="18"/>
                <w:lang w:eastAsia="zh-CN" w:bidi="ar"/>
              </w:rPr>
              <w:t>中国共产党平山县纪律检查委员会</w:t>
            </w:r>
          </w:p>
        </w:tc>
        <w:tc>
          <w:tcPr>
            <w:tcW w:w="91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Layout w:type="fixed"/>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b/>
                <w:bCs/>
                <w:color w:val="000000"/>
                <w:sz w:val="16"/>
                <w:szCs w:val="16"/>
              </w:rPr>
            </w:pPr>
            <w:r>
              <w:rPr>
                <w:rFonts w:hint="eastAsia" w:ascii="黑体" w:hAnsi="黑体" w:eastAsia="黑体" w:cs="宋体"/>
                <w:b/>
                <w:bCs/>
                <w:color w:val="000000"/>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b/>
                <w:bCs/>
                <w:color w:val="000000"/>
                <w:sz w:val="16"/>
                <w:szCs w:val="16"/>
              </w:rPr>
            </w:pPr>
            <w:r>
              <w:rPr>
                <w:rFonts w:hint="eastAsia" w:ascii="黑体" w:hAnsi="黑体" w:eastAsia="黑体" w:cs="宋体"/>
                <w:b/>
                <w:bCs/>
                <w:color w:val="000000"/>
                <w:kern w:val="0"/>
                <w:sz w:val="16"/>
                <w:szCs w:val="16"/>
                <w:lang w:bidi="ar"/>
              </w:rPr>
              <w:t>公用经费</w:t>
            </w:r>
          </w:p>
        </w:tc>
      </w:tr>
      <w:tr>
        <w:tblPrEx>
          <w:tblLayout w:type="fixed"/>
          <w:tblCellMar>
            <w:top w:w="0" w:type="dxa"/>
            <w:left w:w="0" w:type="dxa"/>
            <w:bottom w:w="0" w:type="dxa"/>
            <w:right w:w="0" w:type="dxa"/>
          </w:tblCellMar>
        </w:tblPrEx>
        <w:trPr>
          <w:trHeight w:val="312"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科目编码</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科目名称</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决算数</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科目编码</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科目名称</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决算数</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科目编码</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科目名称</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决算数</w:t>
            </w: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636.49</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163.89</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158.24</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47.71</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165.78</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50.17</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5.94</w:t>
            </w: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20.48</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5.94</w:t>
            </w: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93.24</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4.08</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22.47</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34.92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39.36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1.94</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84.84</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0.37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0.30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1.82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30217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1.82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2.78</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26.37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代缴社会保险费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30.28</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638.31</w:t>
            </w:r>
          </w:p>
        </w:tc>
        <w:tc>
          <w:tcPr>
            <w:tcW w:w="8231"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169.83</w:t>
            </w:r>
          </w:p>
        </w:tc>
      </w:tr>
    </w:tbl>
    <w:p>
      <w:pPr>
        <w:widowControl/>
        <w:jc w:val="center"/>
        <w:textAlignment w:val="center"/>
        <w:sectPr>
          <w:pgSz w:w="16838" w:h="11906" w:orient="landscape"/>
          <w:pgMar w:top="1531" w:right="2098" w:bottom="1531" w:left="1984" w:header="851" w:footer="992" w:gutter="0"/>
          <w:cols w:space="425" w:num="1"/>
          <w:docGrid w:type="lines" w:linePitch="312" w:charSpace="0"/>
        </w:sectPr>
      </w:pPr>
    </w:p>
    <w:tbl>
      <w:tblPr>
        <w:tblStyle w:val="7"/>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Layout w:type="fixed"/>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eastAsia="zh-CN" w:bidi="ar"/>
              </w:rPr>
              <w:t>中国共产党平山县纪律检查委员会</w:t>
            </w: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26.37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26.37</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26.37</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26.37</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26.37</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26.37</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bl>
    <w:p>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tab/>
      </w:r>
      <w:r>
        <w:tab/>
      </w:r>
      <w:r>
        <w:tab/>
      </w:r>
      <w:r>
        <w:tab/>
      </w:r>
      <w:r>
        <w:tab/>
      </w:r>
      <w:r>
        <w:tab/>
      </w:r>
      <w:r>
        <w:tab/>
      </w:r>
      <w:r>
        <w:tab/>
      </w:r>
      <w:r>
        <w:tab/>
      </w:r>
      <w:r>
        <w:br w:type="page"/>
      </w:r>
    </w:p>
    <w:tbl>
      <w:tblPr>
        <w:tblStyle w:val="7"/>
        <w:tblW w:w="9510" w:type="dxa"/>
        <w:jc w:val="center"/>
        <w:tblInd w:w="0" w:type="dxa"/>
        <w:tblLayout w:type="fixed"/>
        <w:tblCellMar>
          <w:top w:w="0" w:type="dxa"/>
          <w:left w:w="0" w:type="dxa"/>
          <w:bottom w:w="0" w:type="dxa"/>
          <w:right w:w="0" w:type="dxa"/>
        </w:tblCellMar>
      </w:tblPr>
      <w:tblGrid>
        <w:gridCol w:w="967"/>
        <w:gridCol w:w="61"/>
        <w:gridCol w:w="61"/>
        <w:gridCol w:w="1407"/>
        <w:gridCol w:w="1169"/>
        <w:gridCol w:w="1169"/>
        <w:gridCol w:w="1169"/>
        <w:gridCol w:w="1169"/>
        <w:gridCol w:w="1169"/>
        <w:gridCol w:w="1169"/>
      </w:tblGrid>
      <w:tr>
        <w:tblPrEx>
          <w:tblLayout w:type="fixed"/>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Layout w:type="fixed"/>
          <w:tblCellMar>
            <w:top w:w="0" w:type="dxa"/>
            <w:left w:w="0" w:type="dxa"/>
            <w:bottom w:w="0" w:type="dxa"/>
            <w:right w:w="0" w:type="dxa"/>
          </w:tblCellMar>
        </w:tblPrEx>
        <w:trPr>
          <w:trHeight w:val="255" w:hRule="atLeast"/>
          <w:jc w:val="center"/>
        </w:trPr>
        <w:tc>
          <w:tcPr>
            <w:tcW w:w="4834" w:type="dxa"/>
            <w:gridSpan w:val="6"/>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eastAsia="zh-CN" w:bidi="ar"/>
              </w:rPr>
              <w:t>中国共产党平山县纪律检查委员会</w:t>
            </w: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Layout w:type="fixed"/>
          <w:tblCellMar>
            <w:top w:w="0" w:type="dxa"/>
            <w:left w:w="0" w:type="dxa"/>
            <w:bottom w:w="0" w:type="dxa"/>
            <w:right w:w="0" w:type="dxa"/>
          </w:tblCellMar>
        </w:tblPrEx>
        <w:trPr>
          <w:trHeight w:val="308" w:hRule="atLeast"/>
          <w:jc w:val="center"/>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50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Layout w:type="fixed"/>
          <w:tblCellMar>
            <w:top w:w="0" w:type="dxa"/>
            <w:left w:w="0" w:type="dxa"/>
            <w:bottom w:w="0" w:type="dxa"/>
            <w:right w:w="0" w:type="dxa"/>
          </w:tblCellMar>
        </w:tblPrEx>
        <w:trPr>
          <w:trHeight w:val="312" w:hRule="atLeast"/>
          <w:jc w:val="center"/>
        </w:trPr>
        <w:tc>
          <w:tcPr>
            <w:tcW w:w="108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4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Layout w:type="fixed"/>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Layout w:type="fixed"/>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Layout w:type="fixed"/>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Layout w:type="fixed"/>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r>
      <w:tr>
        <w:tblPrEx>
          <w:tblLayout w:type="fixed"/>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Layout w:type="fixed"/>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Layout w:type="fixed"/>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Layout w:type="fixed"/>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Layout w:type="fixed"/>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bl>
    <w:p>
      <w:pPr>
        <w:rPr>
          <w:b/>
          <w:sz w:val="20"/>
          <w:szCs w:val="22"/>
          <w:highlight w:val="yellow"/>
        </w:rPr>
      </w:pPr>
      <w:r>
        <w:rPr>
          <w:rFonts w:hint="eastAsia" w:ascii="宋体" w:hAnsi="宋体" w:eastAsia="宋体" w:cs="宋体"/>
          <w:sz w:val="20"/>
          <w:szCs w:val="22"/>
        </w:rPr>
        <w:t>注：本表反映部门本年度政府性基金预算财政拨款收入、支出及结转结余情况</w:t>
      </w:r>
      <w:r>
        <w:rPr>
          <w:rFonts w:hint="eastAsia" w:ascii="宋体" w:hAnsi="宋体" w:eastAsia="宋体" w:cs="宋体"/>
          <w:sz w:val="20"/>
          <w:szCs w:val="22"/>
          <w:lang w:eastAsia="zh-CN"/>
        </w:rPr>
        <w:t>。本部门本年度无相关收支及结转结余情况，按要求空表列示。</w:t>
      </w:r>
      <w:r>
        <w:rPr>
          <w:rFonts w:hint="eastAsia" w:ascii="仿宋_GB2312" w:hAnsi="仿宋_GB2312" w:eastAsia="仿宋_GB2312" w:cs="仿宋_GB2312"/>
          <w:sz w:val="20"/>
          <w:szCs w:val="22"/>
        </w:rPr>
        <w:tab/>
      </w:r>
      <w:r>
        <w:rPr>
          <w:b/>
          <w:sz w:val="20"/>
          <w:szCs w:val="22"/>
          <w:highlight w:val="yellow"/>
        </w:rPr>
        <w:br w:type="page"/>
      </w:r>
    </w:p>
    <w:tbl>
      <w:tblPr>
        <w:tblStyle w:val="7"/>
        <w:tblW w:w="9064"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gridCol w:w="544"/>
      </w:tblGrid>
      <w:tr>
        <w:tblPrEx>
          <w:tblLayout w:type="fixed"/>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Layout w:type="fixed"/>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78" w:type="dxa"/>
            <w:gridSpan w:val="4"/>
            <w:vMerge w:val="restart"/>
            <w:tcBorders>
              <w:top w:val="nil"/>
              <w:left w:val="nil"/>
              <w:right w:val="nil"/>
            </w:tcBorders>
            <w:shd w:val="clear" w:color="auto" w:fill="auto"/>
            <w:tcMar>
              <w:top w:w="15" w:type="dxa"/>
              <w:left w:w="15" w:type="dxa"/>
              <w:right w:w="15" w:type="dxa"/>
            </w:tcMar>
            <w:vAlign w:val="bottom"/>
          </w:tcPr>
          <w:p>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250" w:hRule="atLeast"/>
        </w:trPr>
        <w:tc>
          <w:tcPr>
            <w:tcW w:w="5386"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18"/>
                <w:szCs w:val="18"/>
                <w:lang w:eastAsia="zh-CN" w:bidi="ar"/>
              </w:rPr>
              <w:t>中国共产党平山县纪律检查委员会</w:t>
            </w:r>
          </w:p>
        </w:tc>
        <w:tc>
          <w:tcPr>
            <w:tcW w:w="3678" w:type="dxa"/>
            <w:gridSpan w:val="4"/>
            <w:vMerge w:val="continue"/>
            <w:tcBorders>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Layout w:type="fixed"/>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Layout w:type="fixed"/>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hint="eastAsia" w:ascii="宋体" w:hAnsi="宋体" w:eastAsia="宋体" w:cs="宋体"/>
        </w:rPr>
      </w:pPr>
      <w:r>
        <w:rPr>
          <w:rFonts w:hint="eastAsia" w:ascii="宋体" w:hAnsi="宋体" w:eastAsia="宋体" w:cs="宋体"/>
        </w:rPr>
        <w:t>注：本表反映部门本年度国有资本经营预算财政拨款支出情况。</w:t>
      </w:r>
      <w:r>
        <w:rPr>
          <w:rFonts w:hint="eastAsia" w:ascii="宋体" w:hAnsi="宋体" w:eastAsia="宋体" w:cs="宋体"/>
          <w:sz w:val="20"/>
          <w:szCs w:val="22"/>
          <w:lang w:eastAsia="zh-CN"/>
        </w:rPr>
        <w:t>本部门本年度无相关收支及结转结余情况，按要求空表列示。</w:t>
      </w:r>
      <w:r>
        <w:rPr>
          <w:rFonts w:hint="eastAsia" w:ascii="仿宋_GB2312" w:hAnsi="仿宋_GB2312" w:eastAsia="仿宋_GB2312" w:cs="仿宋_GB2312"/>
          <w:sz w:val="20"/>
          <w:szCs w:val="22"/>
        </w:rPr>
        <w:tab/>
      </w:r>
      <w:bookmarkStart w:id="4" w:name="_GoBack"/>
      <w:bookmarkEnd w:id="4"/>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Mongolian Baiti">
    <w:panose1 w:val="03000500000000000000"/>
    <w:charset w:val="00"/>
    <w:family w:val="script"/>
    <w:pitch w:val="default"/>
    <w:sig w:usb0="80000023" w:usb1="00000000" w:usb2="0002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425F"/>
    <w:multiLevelType w:val="singleLevel"/>
    <w:tmpl w:val="18B8425F"/>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A05"/>
    <w:rsid w:val="00061B93"/>
    <w:rsid w:val="00147453"/>
    <w:rsid w:val="0018668E"/>
    <w:rsid w:val="001B73D2"/>
    <w:rsid w:val="001E62BF"/>
    <w:rsid w:val="0027064E"/>
    <w:rsid w:val="00293E7B"/>
    <w:rsid w:val="002D1F4F"/>
    <w:rsid w:val="002E167A"/>
    <w:rsid w:val="002F1DA9"/>
    <w:rsid w:val="00310EBF"/>
    <w:rsid w:val="00366D90"/>
    <w:rsid w:val="003D2226"/>
    <w:rsid w:val="003D678E"/>
    <w:rsid w:val="00461FAF"/>
    <w:rsid w:val="004D1EA2"/>
    <w:rsid w:val="005E0E86"/>
    <w:rsid w:val="006C01AE"/>
    <w:rsid w:val="007620A2"/>
    <w:rsid w:val="00791C72"/>
    <w:rsid w:val="007920FC"/>
    <w:rsid w:val="007B4876"/>
    <w:rsid w:val="00801F66"/>
    <w:rsid w:val="00812C39"/>
    <w:rsid w:val="009334BF"/>
    <w:rsid w:val="00995AAE"/>
    <w:rsid w:val="009D1193"/>
    <w:rsid w:val="00A61E3E"/>
    <w:rsid w:val="00B0223F"/>
    <w:rsid w:val="00BA1219"/>
    <w:rsid w:val="00BB2584"/>
    <w:rsid w:val="00BE2400"/>
    <w:rsid w:val="00E54963"/>
    <w:rsid w:val="00EB3F98"/>
    <w:rsid w:val="00F217C2"/>
    <w:rsid w:val="00FD5E00"/>
    <w:rsid w:val="037671D2"/>
    <w:rsid w:val="05FC61DD"/>
    <w:rsid w:val="06065617"/>
    <w:rsid w:val="0BD80516"/>
    <w:rsid w:val="0EA325C9"/>
    <w:rsid w:val="0EE17C1A"/>
    <w:rsid w:val="0FB2183B"/>
    <w:rsid w:val="137819D4"/>
    <w:rsid w:val="14D82647"/>
    <w:rsid w:val="158C2853"/>
    <w:rsid w:val="158D7A95"/>
    <w:rsid w:val="17F373FE"/>
    <w:rsid w:val="181800A9"/>
    <w:rsid w:val="1BDC7FC4"/>
    <w:rsid w:val="1CC75335"/>
    <w:rsid w:val="1EBB12B4"/>
    <w:rsid w:val="20C201B9"/>
    <w:rsid w:val="21A41B2C"/>
    <w:rsid w:val="22BE2CCA"/>
    <w:rsid w:val="22E46C89"/>
    <w:rsid w:val="23D5079B"/>
    <w:rsid w:val="24DD3470"/>
    <w:rsid w:val="264777D9"/>
    <w:rsid w:val="28691235"/>
    <w:rsid w:val="28952EC6"/>
    <w:rsid w:val="28EA205B"/>
    <w:rsid w:val="2BF41B6E"/>
    <w:rsid w:val="2D6844FE"/>
    <w:rsid w:val="2E1666CD"/>
    <w:rsid w:val="2E310F0E"/>
    <w:rsid w:val="2FA83EC3"/>
    <w:rsid w:val="3187108F"/>
    <w:rsid w:val="349554B3"/>
    <w:rsid w:val="34C45458"/>
    <w:rsid w:val="35132A7D"/>
    <w:rsid w:val="35C83C42"/>
    <w:rsid w:val="37445DC3"/>
    <w:rsid w:val="38534854"/>
    <w:rsid w:val="3A983202"/>
    <w:rsid w:val="3AEA6860"/>
    <w:rsid w:val="3CB5436B"/>
    <w:rsid w:val="3DED1297"/>
    <w:rsid w:val="405A6DFB"/>
    <w:rsid w:val="4C2607DD"/>
    <w:rsid w:val="4DF123DC"/>
    <w:rsid w:val="4E3D1680"/>
    <w:rsid w:val="4E3F2024"/>
    <w:rsid w:val="4F055277"/>
    <w:rsid w:val="4FDA7071"/>
    <w:rsid w:val="501663BE"/>
    <w:rsid w:val="54565535"/>
    <w:rsid w:val="56252EFC"/>
    <w:rsid w:val="59A612C8"/>
    <w:rsid w:val="59E6127F"/>
    <w:rsid w:val="5B3803E0"/>
    <w:rsid w:val="5DFC2576"/>
    <w:rsid w:val="60154311"/>
    <w:rsid w:val="60950698"/>
    <w:rsid w:val="63FC6B48"/>
    <w:rsid w:val="64EE0F92"/>
    <w:rsid w:val="65810CE9"/>
    <w:rsid w:val="695B26FD"/>
    <w:rsid w:val="6AF77BA8"/>
    <w:rsid w:val="6BB150F3"/>
    <w:rsid w:val="6CC928A8"/>
    <w:rsid w:val="70790D49"/>
    <w:rsid w:val="725C2A91"/>
    <w:rsid w:val="736F0E3C"/>
    <w:rsid w:val="739B51C8"/>
    <w:rsid w:val="73D824BD"/>
    <w:rsid w:val="75481257"/>
    <w:rsid w:val="756643CC"/>
    <w:rsid w:val="764B3663"/>
    <w:rsid w:val="785375CC"/>
    <w:rsid w:val="78EB0A93"/>
    <w:rsid w:val="7A233FA5"/>
    <w:rsid w:val="7E0D2A45"/>
    <w:rsid w:val="7ECD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10">
    <w:name w:val="List Paragraph"/>
    <w:basedOn w:val="1"/>
    <w:unhideWhenUsed/>
    <w:qFormat/>
    <w:uiPriority w:val="99"/>
    <w:pPr>
      <w:ind w:firstLine="420" w:firstLineChars="200"/>
    </w:p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3.xml"/><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chart" Target="charts/chart1.xml"/><Relationship Id="rId17" Type="http://schemas.openxmlformats.org/officeDocument/2006/relationships/image" Target="media/image2.bmp"/><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2019-2020</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年收支总计对比情况</a:t>
            </a:r>
            <a:endPar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endParaRPr>
          </a:p>
        </c:rich>
      </c:tx>
      <c:layout>
        <c:manualLayout>
          <c:xMode val="edge"/>
          <c:yMode val="edge"/>
          <c:x val="0.209718361608105"/>
          <c:y val="0.846648044692737"/>
        </c:manualLayout>
      </c:layout>
      <c:overlay val="0"/>
      <c:spPr>
        <a:noFill/>
        <a:ln>
          <a:noFill/>
        </a:ln>
        <a:effectLst/>
      </c:spPr>
    </c:title>
    <c:autoTitleDeleted val="0"/>
    <c:plotArea>
      <c:layout>
        <c:manualLayout>
          <c:layoutTarget val="inner"/>
          <c:xMode val="edge"/>
          <c:yMode val="edge"/>
          <c:x val="0.122113622480147"/>
          <c:y val="0.0879888268156425"/>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1184.76</c:v>
                </c:pt>
                <c:pt idx="1">
                  <c:v>1265.87</c:v>
                </c:pt>
              </c:numCache>
            </c:numRef>
          </c:val>
        </c:ser>
        <c:dLbls>
          <c:showLegendKey val="0"/>
          <c:showVal val="1"/>
          <c:showCatName val="0"/>
          <c:showSerName val="0"/>
          <c:showPercent val="0"/>
          <c:showBubbleSize val="0"/>
        </c:dLbls>
        <c:gapWidth val="219"/>
        <c:overlap val="-27"/>
        <c:axId val="325272704"/>
        <c:axId val="325275648"/>
      </c:barChart>
      <c:catAx>
        <c:axId val="3252727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325275648"/>
        <c:crosses val="autoZero"/>
        <c:auto val="1"/>
        <c:lblAlgn val="ctr"/>
        <c:lblOffset val="100"/>
        <c:noMultiLvlLbl val="0"/>
      </c:catAx>
      <c:valAx>
        <c:axId val="32527564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3252727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Entry>
      <c:layout>
        <c:manualLayout>
          <c:xMode val="edge"/>
          <c:yMode val="edge"/>
          <c:x val="0.830312807730552"/>
          <c:y val="0.3631731698280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构成图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a:t>
                    </a:r>
                    <a:r>
                      <a:rPr lang="en-US" altLang="zh-CN"/>
                      <a:t>3.84</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36</a:t>
                    </a:r>
                    <a:r>
                      <a:rPr lang="en-US" altLang="zh-CN"/>
                      <a:t>.16</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808.14</c:v>
                </c:pt>
                <c:pt idx="1">
                  <c:v>457.65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90</a:t>
                    </a:r>
                    <a:r>
                      <a:rPr lang="en-US" altLang="zh-CN"/>
                      <a:t>.55</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0166464870968541"/>
                  <c:y val="0.02752699425970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1.91</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4.87</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manualLayout>
                  <c:x val="0.0100493651678489"/>
                  <c:y val="0.03685457627912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2.67</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c:v>
                </c:pt>
                <c:pt idx="1">
                  <c:v>公共安全类（类）</c:v>
                </c:pt>
                <c:pt idx="2">
                  <c:v>社会保障和就业（类）</c:v>
                </c:pt>
                <c:pt idx="3">
                  <c:v>住房保障（类）</c:v>
                </c:pt>
              </c:strCache>
            </c:strRef>
          </c:cat>
          <c:val>
            <c:numRef>
              <c:f>Sheet1!$B$2:$B$5</c:f>
              <c:numCache>
                <c:formatCode>General</c:formatCode>
                <c:ptCount val="4"/>
                <c:pt idx="0">
                  <c:v>1146.16</c:v>
                </c:pt>
                <c:pt idx="1">
                  <c:v>24.16</c:v>
                </c:pt>
                <c:pt idx="2">
                  <c:v>61.67</c:v>
                </c:pt>
                <c:pt idx="3">
                  <c:v>33.8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34</Pages>
  <Words>1765</Words>
  <Characters>10064</Characters>
  <Lines>83</Lines>
  <Paragraphs>23</Paragraphs>
  <TotalTime>4</TotalTime>
  <ScaleCrop>false</ScaleCrop>
  <LinksUpToDate>false</LinksUpToDate>
  <CharactersWithSpaces>11806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Administrator</cp:lastModifiedBy>
  <cp:lastPrinted>2021-08-26T06:52:00Z</cp:lastPrinted>
  <dcterms:modified xsi:type="dcterms:W3CDTF">2021-09-08T07:49:48Z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65FA352BAB5146309CB066C800874C19</vt:lpwstr>
  </property>
</Properties>
</file>